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9" w:type="dxa"/>
        <w:tblInd w:w="-72" w:type="dxa"/>
        <w:tblLayout w:type="fixed"/>
        <w:tblLook w:val="0000"/>
      </w:tblPr>
      <w:tblGrid>
        <w:gridCol w:w="3060"/>
        <w:gridCol w:w="282"/>
        <w:gridCol w:w="6336"/>
        <w:gridCol w:w="991"/>
      </w:tblGrid>
      <w:tr w:rsidR="003B7DDA" w:rsidRPr="00E9745B" w:rsidTr="00F964C8">
        <w:trPr>
          <w:gridAfter w:val="1"/>
          <w:wAfter w:w="991" w:type="dxa"/>
        </w:trPr>
        <w:tc>
          <w:tcPr>
            <w:tcW w:w="3060" w:type="dxa"/>
          </w:tcPr>
          <w:p w:rsidR="003B7DDA" w:rsidRPr="00576AF8" w:rsidRDefault="003B7DDA" w:rsidP="00F964C8">
            <w:pPr>
              <w:widowControl w:val="0"/>
              <w:jc w:val="center"/>
              <w:rPr>
                <w:b/>
                <w:sz w:val="26"/>
                <w:szCs w:val="24"/>
                <w:lang w:val="nl-NL"/>
              </w:rPr>
            </w:pPr>
            <w:r w:rsidRPr="00576AF8">
              <w:rPr>
                <w:b/>
                <w:sz w:val="26"/>
                <w:szCs w:val="24"/>
                <w:lang w:val="nl-NL"/>
              </w:rPr>
              <w:t>BỘ TÀI CHÍNH</w:t>
            </w:r>
          </w:p>
          <w:p w:rsidR="003B7DDA" w:rsidRPr="00712F5E" w:rsidRDefault="003B7DDA" w:rsidP="00F964C8">
            <w:pPr>
              <w:widowControl w:val="0"/>
              <w:jc w:val="center"/>
              <w:rPr>
                <w:rFonts w:ascii="VnPalatino" w:hAnsi="VnPalatino"/>
                <w:lang w:val="nl-NL"/>
              </w:rPr>
            </w:pPr>
            <w:r w:rsidRPr="00712F5E">
              <w:rPr>
                <w:rFonts w:ascii="VnPalatino" w:hAnsi="VnPalatino"/>
                <w:vertAlign w:val="superscript"/>
                <w:lang w:val="nl-NL"/>
              </w:rPr>
              <w:t>_____</w:t>
            </w:r>
          </w:p>
        </w:tc>
        <w:tc>
          <w:tcPr>
            <w:tcW w:w="282" w:type="dxa"/>
          </w:tcPr>
          <w:p w:rsidR="003B7DDA" w:rsidRPr="00712F5E" w:rsidRDefault="003B7DDA" w:rsidP="00F964C8">
            <w:pPr>
              <w:widowControl w:val="0"/>
              <w:jc w:val="center"/>
              <w:rPr>
                <w:sz w:val="26"/>
                <w:lang w:val="nl-NL"/>
              </w:rPr>
            </w:pPr>
          </w:p>
        </w:tc>
        <w:tc>
          <w:tcPr>
            <w:tcW w:w="6336" w:type="dxa"/>
          </w:tcPr>
          <w:p w:rsidR="003B7DDA" w:rsidRPr="00576AF8" w:rsidRDefault="003B7DDA" w:rsidP="00F964C8">
            <w:pPr>
              <w:widowControl w:val="0"/>
              <w:ind w:left="-9" w:right="-786"/>
              <w:rPr>
                <w:b/>
                <w:sz w:val="26"/>
                <w:szCs w:val="24"/>
                <w:lang w:val="nl-NL"/>
              </w:rPr>
            </w:pPr>
            <w:r>
              <w:rPr>
                <w:b/>
                <w:sz w:val="26"/>
                <w:szCs w:val="24"/>
                <w:lang w:val="nl-NL"/>
              </w:rPr>
              <w:t xml:space="preserve">     </w:t>
            </w:r>
            <w:r w:rsidRPr="00576AF8">
              <w:rPr>
                <w:b/>
                <w:sz w:val="26"/>
                <w:szCs w:val="24"/>
                <w:lang w:val="nl-NL"/>
              </w:rPr>
              <w:t>CỘNG HOÀ XÃ HỘI CHỦ NGHĨA VIỆT NAM</w:t>
            </w:r>
          </w:p>
          <w:p w:rsidR="003B7DDA" w:rsidRPr="00E9745B" w:rsidRDefault="003B7DDA" w:rsidP="00F964C8">
            <w:pPr>
              <w:widowControl w:val="0"/>
              <w:jc w:val="center"/>
              <w:rPr>
                <w:rFonts w:ascii="VnPalatino" w:hAnsi="VnPalatino"/>
                <w:lang w:val="nl-NL"/>
              </w:rPr>
            </w:pPr>
            <w:r w:rsidRPr="00E9745B">
              <w:rPr>
                <w:b/>
                <w:lang w:val="nl-NL"/>
              </w:rPr>
              <w:t>Độc lập - Tự do - Hạnh phúc</w:t>
            </w:r>
          </w:p>
        </w:tc>
      </w:tr>
      <w:tr w:rsidR="003B7DDA" w:rsidRPr="00712F5E" w:rsidTr="00F964C8">
        <w:tc>
          <w:tcPr>
            <w:tcW w:w="3060" w:type="dxa"/>
          </w:tcPr>
          <w:p w:rsidR="003B7DDA" w:rsidRPr="0040078C" w:rsidRDefault="003B7DDA" w:rsidP="00F964C8">
            <w:pPr>
              <w:widowControl w:val="0"/>
              <w:jc w:val="center"/>
              <w:rPr>
                <w:b/>
                <w:sz w:val="26"/>
                <w:szCs w:val="26"/>
                <w:lang w:val="nl-NL"/>
              </w:rPr>
            </w:pPr>
          </w:p>
        </w:tc>
        <w:tc>
          <w:tcPr>
            <w:tcW w:w="282" w:type="dxa"/>
          </w:tcPr>
          <w:p w:rsidR="003B7DDA" w:rsidRPr="00712F5E" w:rsidRDefault="003B7DDA" w:rsidP="00F964C8">
            <w:pPr>
              <w:widowControl w:val="0"/>
              <w:jc w:val="center"/>
              <w:rPr>
                <w:sz w:val="26"/>
                <w:lang w:val="nl-NL"/>
              </w:rPr>
            </w:pPr>
          </w:p>
        </w:tc>
        <w:tc>
          <w:tcPr>
            <w:tcW w:w="6336" w:type="dxa"/>
          </w:tcPr>
          <w:p w:rsidR="003B7DDA" w:rsidRPr="00712F5E" w:rsidRDefault="003B7DDA" w:rsidP="00214652">
            <w:pPr>
              <w:widowControl w:val="0"/>
              <w:jc w:val="center"/>
              <w:rPr>
                <w:rFonts w:ascii=".VnCentury SchoolbookH" w:hAnsi=".VnCentury SchoolbookH"/>
                <w:b/>
                <w:sz w:val="22"/>
                <w:lang w:val="nl-NL"/>
              </w:rPr>
            </w:pPr>
            <w:r w:rsidRPr="00712F5E">
              <w:rPr>
                <w:b/>
                <w:sz w:val="22"/>
                <w:vertAlign w:val="superscript"/>
                <w:lang w:val="nl-NL"/>
              </w:rPr>
              <w:t>________________________________________________</w:t>
            </w:r>
          </w:p>
        </w:tc>
        <w:tc>
          <w:tcPr>
            <w:tcW w:w="991" w:type="dxa"/>
          </w:tcPr>
          <w:p w:rsidR="003B7DDA" w:rsidRPr="00712F5E" w:rsidRDefault="003B7DDA" w:rsidP="00F964C8">
            <w:pPr>
              <w:widowControl w:val="0"/>
              <w:rPr>
                <w:b/>
                <w:sz w:val="16"/>
                <w:lang w:val="nl-NL"/>
              </w:rPr>
            </w:pPr>
          </w:p>
        </w:tc>
      </w:tr>
      <w:tr w:rsidR="003B7DDA" w:rsidRPr="00050CCB" w:rsidTr="00F964C8">
        <w:trPr>
          <w:gridAfter w:val="1"/>
          <w:wAfter w:w="991" w:type="dxa"/>
        </w:trPr>
        <w:tc>
          <w:tcPr>
            <w:tcW w:w="3060" w:type="dxa"/>
          </w:tcPr>
          <w:p w:rsidR="003B7DDA" w:rsidRPr="00712F5E" w:rsidRDefault="003B7DDA" w:rsidP="008C7727">
            <w:pPr>
              <w:widowControl w:val="0"/>
              <w:jc w:val="center"/>
              <w:rPr>
                <w:sz w:val="24"/>
                <w:lang w:val="nl-NL"/>
              </w:rPr>
            </w:pPr>
            <w:r>
              <w:rPr>
                <w:sz w:val="26"/>
                <w:szCs w:val="26"/>
                <w:lang w:val="nl-NL"/>
              </w:rPr>
              <w:t xml:space="preserve">Số: </w:t>
            </w:r>
            <w:r w:rsidR="008C7727">
              <w:rPr>
                <w:sz w:val="26"/>
                <w:szCs w:val="26"/>
                <w:lang w:val="nl-NL"/>
              </w:rPr>
              <w:t>329</w:t>
            </w:r>
            <w:r w:rsidRPr="0040078C">
              <w:rPr>
                <w:sz w:val="26"/>
                <w:szCs w:val="26"/>
                <w:lang w:val="nl-NL"/>
              </w:rPr>
              <w:t>/TTr-BTC</w:t>
            </w:r>
          </w:p>
        </w:tc>
        <w:tc>
          <w:tcPr>
            <w:tcW w:w="282" w:type="dxa"/>
          </w:tcPr>
          <w:p w:rsidR="003B7DDA" w:rsidRPr="00712F5E" w:rsidRDefault="003B7DDA" w:rsidP="00F964C8">
            <w:pPr>
              <w:widowControl w:val="0"/>
              <w:jc w:val="center"/>
              <w:rPr>
                <w:sz w:val="26"/>
                <w:lang w:val="nl-NL"/>
              </w:rPr>
            </w:pPr>
          </w:p>
        </w:tc>
        <w:tc>
          <w:tcPr>
            <w:tcW w:w="6336" w:type="dxa"/>
          </w:tcPr>
          <w:p w:rsidR="003B7DDA" w:rsidRDefault="003B7DDA" w:rsidP="009A34B7">
            <w:pPr>
              <w:widowControl w:val="0"/>
              <w:jc w:val="center"/>
              <w:rPr>
                <w:i/>
                <w:lang w:val="nl-NL"/>
              </w:rPr>
            </w:pPr>
            <w:r>
              <w:rPr>
                <w:i/>
                <w:lang w:val="nl-NL"/>
              </w:rPr>
              <w:t>H</w:t>
            </w:r>
            <w:r w:rsidRPr="0040078C">
              <w:rPr>
                <w:i/>
                <w:lang w:val="nl-NL"/>
              </w:rPr>
              <w:t xml:space="preserve">à Nội, ngày </w:t>
            </w:r>
            <w:r w:rsidR="008C7727">
              <w:rPr>
                <w:i/>
                <w:lang w:val="nl-NL"/>
              </w:rPr>
              <w:t>30</w:t>
            </w:r>
            <w:r w:rsidRPr="0040078C">
              <w:rPr>
                <w:i/>
                <w:lang w:val="nl-NL"/>
              </w:rPr>
              <w:t xml:space="preserve"> tháng</w:t>
            </w:r>
            <w:r>
              <w:rPr>
                <w:i/>
                <w:lang w:val="nl-NL"/>
              </w:rPr>
              <w:t xml:space="preserve"> </w:t>
            </w:r>
            <w:r w:rsidR="008C7727">
              <w:rPr>
                <w:i/>
                <w:lang w:val="nl-NL"/>
              </w:rPr>
              <w:t>12</w:t>
            </w:r>
            <w:r>
              <w:rPr>
                <w:i/>
                <w:lang w:val="nl-NL"/>
              </w:rPr>
              <w:t xml:space="preserve"> </w:t>
            </w:r>
            <w:r w:rsidRPr="0040078C">
              <w:rPr>
                <w:i/>
                <w:lang w:val="nl-NL"/>
              </w:rPr>
              <w:t>năm 20</w:t>
            </w:r>
            <w:r w:rsidR="00852ABB">
              <w:rPr>
                <w:i/>
                <w:lang w:val="nl-NL"/>
              </w:rPr>
              <w:t>2</w:t>
            </w:r>
            <w:r w:rsidR="008C69FA">
              <w:rPr>
                <w:i/>
                <w:lang w:val="nl-NL"/>
              </w:rPr>
              <w:t>2</w:t>
            </w:r>
          </w:p>
          <w:p w:rsidR="003F4BCB" w:rsidRPr="0040078C" w:rsidRDefault="003F4BCB" w:rsidP="009A34B7">
            <w:pPr>
              <w:widowControl w:val="0"/>
              <w:jc w:val="center"/>
              <w:rPr>
                <w:b/>
                <w:lang w:val="nl-NL"/>
              </w:rPr>
            </w:pPr>
          </w:p>
        </w:tc>
      </w:tr>
    </w:tbl>
    <w:p w:rsidR="003B7DDA" w:rsidRDefault="003B7DDA" w:rsidP="003B7DDA">
      <w:pPr>
        <w:widowControl w:val="0"/>
        <w:jc w:val="both"/>
        <w:rPr>
          <w:lang w:val="nl-NL"/>
        </w:rPr>
      </w:pPr>
    </w:p>
    <w:p w:rsidR="003B7DDA" w:rsidRPr="00AF6C05" w:rsidRDefault="003B7DDA" w:rsidP="009F0B7C">
      <w:pPr>
        <w:widowControl w:val="0"/>
        <w:spacing w:before="120" w:after="120"/>
        <w:jc w:val="center"/>
        <w:outlineLvl w:val="0"/>
        <w:rPr>
          <w:b/>
          <w:sz w:val="26"/>
          <w:lang w:val="nl-NL"/>
        </w:rPr>
      </w:pPr>
      <w:r w:rsidRPr="00AF6C05">
        <w:rPr>
          <w:b/>
          <w:sz w:val="26"/>
          <w:lang w:val="nl-NL"/>
        </w:rPr>
        <w:t xml:space="preserve">TỜ TRÌNH </w:t>
      </w:r>
    </w:p>
    <w:p w:rsidR="00E0598E" w:rsidRPr="00390C2A" w:rsidRDefault="007C6CBE" w:rsidP="00095C0A">
      <w:pPr>
        <w:widowControl w:val="0"/>
        <w:jc w:val="center"/>
        <w:rPr>
          <w:b/>
          <w:i/>
          <w:lang w:val="nl-NL"/>
        </w:rPr>
      </w:pPr>
      <w:r>
        <w:rPr>
          <w:b/>
          <w:lang w:val="nl-NL"/>
        </w:rPr>
        <w:t xml:space="preserve">Về việc ban hành </w:t>
      </w:r>
      <w:r w:rsidR="003B7DDA">
        <w:rPr>
          <w:b/>
          <w:lang w:val="nl-NL"/>
        </w:rPr>
        <w:t>Ngh</w:t>
      </w:r>
      <w:r w:rsidR="003B7DDA" w:rsidRPr="00DD0E10">
        <w:rPr>
          <w:b/>
          <w:lang w:val="nl-NL"/>
        </w:rPr>
        <w:t>ị</w:t>
      </w:r>
      <w:r w:rsidR="003B7DDA">
        <w:rPr>
          <w:b/>
          <w:lang w:val="nl-NL"/>
        </w:rPr>
        <w:t xml:space="preserve"> </w:t>
      </w:r>
      <w:r w:rsidR="003B7DDA" w:rsidRPr="00DD0E10">
        <w:rPr>
          <w:b/>
          <w:lang w:val="nl-NL"/>
        </w:rPr>
        <w:t>định</w:t>
      </w:r>
      <w:r w:rsidR="003B7DDA">
        <w:rPr>
          <w:b/>
          <w:lang w:val="nl-NL"/>
        </w:rPr>
        <w:t xml:space="preserve"> </w:t>
      </w:r>
      <w:r w:rsidR="00095C0A">
        <w:rPr>
          <w:b/>
        </w:rPr>
        <w:t>s</w:t>
      </w:r>
      <w:r w:rsidR="00095C0A" w:rsidRPr="00155C15">
        <w:rPr>
          <w:b/>
        </w:rPr>
        <w:t>ửa đổi, bổ sung khoản 3 Điều 34 Nghị định số 153/2020/NĐ-CP ngày 31 tháng 12 năm 2020 quy định về chào bán, giao dịch trái phiếu doanh nghiệp riêng lẻ tại thị trường trong nước và chào bán trái phiếu doanh nghiệp ra thị trường quốc tế và ngưng hiệu lực thi hành, sửa đổi một số điều của Nghị định số 65/2022/NĐ-CP ngày 16 tháng 09 năm 2022 sửa đổi, bổ sung một số điều của Nghị định số 153/2020/NĐ-CP ngày 31 tháng 12 năm 2020 quy định về chào bán, giao dịch trái phiếu doanh nghiệp riêng lẻ tại thị trường trong nước và chào bán trái phiếu doanh nghiệp ra thị trường quốc tế</w:t>
      </w:r>
      <w:r w:rsidR="0090512A">
        <w:rPr>
          <w:b/>
        </w:rPr>
        <w:br/>
      </w:r>
      <w:r w:rsidR="0090512A" w:rsidRPr="00390C2A">
        <w:rPr>
          <w:b/>
          <w:i/>
        </w:rPr>
        <w:t>(</w:t>
      </w:r>
      <w:r w:rsidR="00CB59F6" w:rsidRPr="00390C2A">
        <w:rPr>
          <w:b/>
          <w:i/>
        </w:rPr>
        <w:t xml:space="preserve">Để </w:t>
      </w:r>
      <w:r w:rsidR="0090512A" w:rsidRPr="00390C2A">
        <w:rPr>
          <w:b/>
          <w:i/>
        </w:rPr>
        <w:t>lấy ý kiến thẩm định của Bộ Tư pháp)</w:t>
      </w:r>
    </w:p>
    <w:p w:rsidR="003B7DDA" w:rsidRDefault="003B7DDA" w:rsidP="003B7DDA">
      <w:pPr>
        <w:widowControl w:val="0"/>
        <w:jc w:val="center"/>
        <w:rPr>
          <w:b/>
          <w:sz w:val="22"/>
          <w:vertAlign w:val="superscript"/>
          <w:lang w:val="nl-NL"/>
        </w:rPr>
      </w:pPr>
      <w:r w:rsidRPr="00712F5E">
        <w:rPr>
          <w:b/>
          <w:sz w:val="22"/>
          <w:vertAlign w:val="superscript"/>
          <w:lang w:val="nl-NL"/>
        </w:rPr>
        <w:t>_____________________________________</w:t>
      </w:r>
    </w:p>
    <w:p w:rsidR="00A30788" w:rsidRDefault="00A30788" w:rsidP="00226680">
      <w:pPr>
        <w:widowControl w:val="0"/>
        <w:spacing w:before="240" w:after="240" w:line="340" w:lineRule="exact"/>
        <w:jc w:val="center"/>
        <w:outlineLvl w:val="0"/>
        <w:rPr>
          <w:lang w:val="nl-NL"/>
        </w:rPr>
      </w:pPr>
      <w:r w:rsidRPr="00FC63B6">
        <w:rPr>
          <w:lang w:val="nl-NL"/>
        </w:rPr>
        <w:t>Kính gửi: Chính phủ</w:t>
      </w:r>
      <w:r w:rsidR="00EC1F9D">
        <w:rPr>
          <w:lang w:val="nl-NL"/>
        </w:rPr>
        <w:t>.</w:t>
      </w:r>
    </w:p>
    <w:p w:rsidR="00EC1F9D" w:rsidRDefault="0090345F" w:rsidP="00095C0A">
      <w:pPr>
        <w:widowControl w:val="0"/>
        <w:spacing w:before="120" w:after="120" w:line="320" w:lineRule="exact"/>
        <w:ind w:firstLine="697"/>
        <w:jc w:val="both"/>
        <w:rPr>
          <w:bCs/>
          <w:lang w:val="nl-NL"/>
        </w:rPr>
      </w:pPr>
      <w:r w:rsidRPr="0090345F">
        <w:rPr>
          <w:bCs/>
        </w:rPr>
        <w:t>Tại Nghị quyết số 143/NQ-CP ngày 04/11/2022 về Phiên họp Chính phủ thường kỳ tháng 10 năm 2022, Chính phủ chỉ đạo Bộ Tài chính phối hợp với các cơ quan, địa phương để rà soát, kịp thời tháo gỡ khó khăn, vướng mắc trong quá trình thực hiện, ổn định thị trường trái phiếu doanh nghiệp, báo cáo Chính phủ để sửa đổi Nghị định số 65/2022/NĐ-CP ngày 16/9/2022 sửa đổi, bổ sung một số điều của Nghị định số 153/2020/NĐ-CP quy định về chào bán, giao dịch trái phiếu doanh nghiệp riêng lẻ tại thị trường trong nước và chào bán trái phiếu doanh nghiệp ra thị trường quốc tế (nếu cần thiết). Tiếp theo đó, Thủ tướng Chính phủ đã có các văn bản chỉ đạo khẩn trương thực hiện nhiệm vụ này.</w:t>
      </w:r>
      <w:r>
        <w:rPr>
          <w:bCs/>
        </w:rPr>
        <w:t xml:space="preserve"> </w:t>
      </w:r>
      <w:r>
        <w:rPr>
          <w:bCs/>
          <w:lang w:val="nl-NL"/>
        </w:rPr>
        <w:t xml:space="preserve"> </w:t>
      </w:r>
    </w:p>
    <w:p w:rsidR="00425981" w:rsidRPr="00F51E3C" w:rsidRDefault="0090345F" w:rsidP="00095C0A">
      <w:pPr>
        <w:widowControl w:val="0"/>
        <w:spacing w:before="120" w:after="120" w:line="320" w:lineRule="exact"/>
        <w:ind w:firstLine="697"/>
        <w:jc w:val="both"/>
        <w:rPr>
          <w:lang w:val="nl-NL"/>
        </w:rPr>
      </w:pPr>
      <w:r>
        <w:t>S</w:t>
      </w:r>
      <w:r>
        <w:rPr>
          <w:bCs/>
          <w:lang w:val="nl-NL"/>
        </w:rPr>
        <w:t>au khi lấy ý kiến</w:t>
      </w:r>
      <w:r>
        <w:t xml:space="preserve"> các Bộ, ngành có liên quan, đối tượng chịu tác động</w:t>
      </w:r>
      <w:r w:rsidR="00610333">
        <w:t>,</w:t>
      </w:r>
      <w:r>
        <w:t xml:space="preserve"> các chuyên gia, nhà khoa học</w:t>
      </w:r>
      <w:r w:rsidR="00610333">
        <w:t xml:space="preserve"> và ý kiến thẩm định của Bộ Tư pháp</w:t>
      </w:r>
      <w:r w:rsidR="009A5895">
        <w:t xml:space="preserve"> </w:t>
      </w:r>
      <w:r>
        <w:t xml:space="preserve">theo quy trình soạn thảo văn bản quy phạm pháp luật, </w:t>
      </w:r>
      <w:r>
        <w:rPr>
          <w:bCs/>
          <w:lang w:val="nl-NL"/>
        </w:rPr>
        <w:t xml:space="preserve">Bộ Tài chính xin trình Chính phủ ban hành Nghị định </w:t>
      </w:r>
      <w:r w:rsidR="00095C0A">
        <w:rPr>
          <w:bCs/>
          <w:lang w:val="nl-NL"/>
        </w:rPr>
        <w:t>s</w:t>
      </w:r>
      <w:r w:rsidR="00095C0A" w:rsidRPr="00095C0A">
        <w:rPr>
          <w:bCs/>
          <w:lang w:val="nl-NL"/>
        </w:rPr>
        <w:t>ửa đổi</w:t>
      </w:r>
      <w:r w:rsidR="00095C0A">
        <w:rPr>
          <w:bCs/>
          <w:lang w:val="nl-NL"/>
        </w:rPr>
        <w:t xml:space="preserve"> </w:t>
      </w:r>
      <w:r w:rsidR="00095C0A" w:rsidRPr="00095C0A">
        <w:rPr>
          <w:bCs/>
          <w:lang w:val="nl-NL"/>
        </w:rPr>
        <w:t xml:space="preserve">Nghị định số 153/2020/NĐ-CP và ngưng hiệu lực thi hành, sửa đổi một số điều của Nghị định số 65/2022/NĐ-CP </w:t>
      </w:r>
      <w:r w:rsidR="00D86E71" w:rsidRPr="00F51E3C">
        <w:rPr>
          <w:lang w:val="nl-NL"/>
        </w:rPr>
        <w:t xml:space="preserve">như sau:  </w:t>
      </w:r>
      <w:r w:rsidR="00E045DA" w:rsidRPr="00F51E3C">
        <w:rPr>
          <w:lang w:val="nl-NL"/>
        </w:rPr>
        <w:t xml:space="preserve"> </w:t>
      </w:r>
    </w:p>
    <w:p w:rsidR="001C0892" w:rsidRPr="00F51E3C" w:rsidRDefault="005F7B96" w:rsidP="00095C0A">
      <w:pPr>
        <w:widowControl w:val="0"/>
        <w:spacing w:before="120" w:after="120" w:line="320" w:lineRule="exact"/>
        <w:ind w:firstLine="697"/>
        <w:jc w:val="both"/>
        <w:outlineLvl w:val="0"/>
        <w:rPr>
          <w:b/>
          <w:lang w:val="pt-BR"/>
        </w:rPr>
      </w:pPr>
      <w:r w:rsidRPr="00F51E3C">
        <w:rPr>
          <w:b/>
          <w:lang w:val="pt-BR"/>
        </w:rPr>
        <w:t xml:space="preserve">I. </w:t>
      </w:r>
      <w:r w:rsidR="001C0892" w:rsidRPr="00F51E3C">
        <w:rPr>
          <w:b/>
          <w:lang w:val="pt-BR"/>
        </w:rPr>
        <w:t xml:space="preserve">Sự cần thiết ban hành Nghị định </w:t>
      </w:r>
      <w:r w:rsidR="00FF5808" w:rsidRPr="00FF5808">
        <w:rPr>
          <w:b/>
          <w:lang w:val="pt-BR"/>
        </w:rPr>
        <w:t xml:space="preserve">sửa đổi Nghị định số 153/2020/NĐ-CP và </w:t>
      </w:r>
      <w:r w:rsidR="002504D2" w:rsidRPr="00F51E3C">
        <w:rPr>
          <w:b/>
          <w:lang w:val="pt-BR"/>
        </w:rPr>
        <w:t xml:space="preserve">sửa đổi, bổ sung Nghị định số </w:t>
      </w:r>
      <w:r w:rsidR="009A5895">
        <w:rPr>
          <w:b/>
          <w:lang w:val="pt-BR"/>
        </w:rPr>
        <w:t>65/2022</w:t>
      </w:r>
      <w:r w:rsidR="008D1DA1" w:rsidRPr="00F51E3C">
        <w:rPr>
          <w:b/>
          <w:lang w:val="pt-BR"/>
        </w:rPr>
        <w:t>/NĐ-CP</w:t>
      </w:r>
      <w:r w:rsidR="001C0892" w:rsidRPr="00F51E3C">
        <w:rPr>
          <w:b/>
          <w:lang w:val="pt-BR"/>
        </w:rPr>
        <w:t xml:space="preserve"> </w:t>
      </w:r>
    </w:p>
    <w:p w:rsidR="0089608D" w:rsidRPr="0089608D" w:rsidRDefault="002C7D6C" w:rsidP="00095C0A">
      <w:pPr>
        <w:widowControl w:val="0"/>
        <w:spacing w:before="120" w:after="120" w:line="320" w:lineRule="exact"/>
        <w:ind w:firstLine="709"/>
        <w:jc w:val="both"/>
      </w:pPr>
      <w:r>
        <w:t>-</w:t>
      </w:r>
      <w:r w:rsidR="000A65E3">
        <w:t xml:space="preserve"> </w:t>
      </w:r>
      <w:r w:rsidR="0089608D" w:rsidRPr="0089608D">
        <w:t xml:space="preserve">Ngày 16/9/2022, Chính phủ đã ban hành Nghị định số 65 sửa đổi, bổ sung một số điều của Nghị định số 153 theo nguyên tắc (i) tuân thủ điều kiện phát hành trái phiếu quy định tại Luật Chứng khoán, Luật Doanh nghiệp, (ii) bổ sung các quy định theo thẩm quyền của Chính phủ để tiếp tục phát triển thị trường TPDN minh bạch, bền vững, bảo vệ quyền lợi cho cả doanh nghiệp phát </w:t>
      </w:r>
      <w:r w:rsidR="0089608D" w:rsidRPr="0089608D">
        <w:lastRenderedPageBreak/>
        <w:t xml:space="preserve">hành và nhà đầu tư, khắc phục bất cập trên thị trường thời gian vừa qua. Đồng thời, Nghị định cũng </w:t>
      </w:r>
      <w:r w:rsidR="00610333">
        <w:t xml:space="preserve">quy định </w:t>
      </w:r>
      <w:r w:rsidR="0089608D" w:rsidRPr="0089608D">
        <w:t>tăng cường quản lý, giám sát bao gồm cả giám sát liên thông giữa lĩnh vực thị trường tài chính, lĩnh vực tín dụng ngân hàng và các lĩnh vực khác của nền kinh tế.</w:t>
      </w:r>
      <w:r w:rsidR="000A65E3">
        <w:t xml:space="preserve"> </w:t>
      </w:r>
      <w:r w:rsidR="0089608D">
        <w:t xml:space="preserve">Các </w:t>
      </w:r>
      <w:r w:rsidR="0089608D" w:rsidRPr="001914AB">
        <w:t>nội dung cơ bản của Nghị đị</w:t>
      </w:r>
      <w:r w:rsidR="0089608D">
        <w:t xml:space="preserve">nh </w:t>
      </w:r>
      <w:r w:rsidR="0089608D" w:rsidRPr="001914AB">
        <w:t>bao gồm:</w:t>
      </w:r>
      <w:r w:rsidR="0089608D">
        <w:t xml:space="preserve"> (i) </w:t>
      </w:r>
      <w:r w:rsidR="008E3CA3">
        <w:rPr>
          <w:b/>
        </w:rPr>
        <w:t>Về đ</w:t>
      </w:r>
      <w:r w:rsidR="008E3CA3" w:rsidRPr="001914AB">
        <w:rPr>
          <w:b/>
        </w:rPr>
        <w:t xml:space="preserve">iều </w:t>
      </w:r>
      <w:r w:rsidR="0089608D" w:rsidRPr="001914AB">
        <w:rPr>
          <w:b/>
        </w:rPr>
        <w:t>kiện phát hành</w:t>
      </w:r>
      <w:r w:rsidR="0089608D">
        <w:rPr>
          <w:b/>
        </w:rPr>
        <w:t xml:space="preserve"> và hồ sơ chào bán</w:t>
      </w:r>
      <w:r w:rsidR="0089608D" w:rsidRPr="001914AB">
        <w:rPr>
          <w:b/>
        </w:rPr>
        <w:t>:</w:t>
      </w:r>
      <w:r w:rsidR="0089608D" w:rsidRPr="001914AB">
        <w:t xml:space="preserve"> </w:t>
      </w:r>
      <w:r w:rsidR="0089608D">
        <w:t>tuân thủ quy định tại</w:t>
      </w:r>
      <w:r w:rsidR="0089608D" w:rsidRPr="001914AB">
        <w:t xml:space="preserve"> Luật Chứng khoán và Luật Doanh nghiệp</w:t>
      </w:r>
      <w:r w:rsidR="008E3CA3">
        <w:t>,</w:t>
      </w:r>
      <w:r w:rsidR="0089608D">
        <w:t xml:space="preserve"> b</w:t>
      </w:r>
      <w:r w:rsidR="0089608D" w:rsidRPr="001914AB">
        <w:t>ổ sung quy định hồ sơ chào bán</w:t>
      </w:r>
      <w:r w:rsidR="0089608D">
        <w:t xml:space="preserve"> trái phiếu bao gồm</w:t>
      </w:r>
      <w:r w:rsidR="0089608D" w:rsidRPr="001914AB">
        <w:t xml:space="preserve"> kết quả xếp hạng tín nhiệm</w:t>
      </w:r>
      <w:r w:rsidR="00AC13A3">
        <w:t>,</w:t>
      </w:r>
      <w:r w:rsidR="0089608D" w:rsidRPr="001914AB">
        <w:t xml:space="preserve"> </w:t>
      </w:r>
      <w:r w:rsidR="0089608D">
        <w:t xml:space="preserve">hợp đồng ký kết với </w:t>
      </w:r>
      <w:r w:rsidR="0089608D" w:rsidRPr="001914AB">
        <w:t>đại diện người sở hữu trái phiếu</w:t>
      </w:r>
      <w:r w:rsidR="0089608D">
        <w:t xml:space="preserve"> trong</w:t>
      </w:r>
      <w:r w:rsidR="0089608D" w:rsidRPr="001914AB">
        <w:t xml:space="preserve"> trường hợp chào bán cho nhà đầu tư chứng khoán chuyên nghiệp là cá nhân và xác nhận của ngân hàng thương mại về việc mở tài khoản nhận tiền m</w:t>
      </w:r>
      <w:r w:rsidR="00AC13A3">
        <w:t xml:space="preserve">ua trái phiếu; (ii) </w:t>
      </w:r>
      <w:r w:rsidR="008E3CA3">
        <w:rPr>
          <w:b/>
        </w:rPr>
        <w:t>Về</w:t>
      </w:r>
      <w:r w:rsidR="0089608D">
        <w:rPr>
          <w:b/>
        </w:rPr>
        <w:t xml:space="preserve"> trách nhiệm của</w:t>
      </w:r>
      <w:r w:rsidR="0089608D" w:rsidRPr="001914AB">
        <w:rPr>
          <w:b/>
        </w:rPr>
        <w:t xml:space="preserve"> doanh nghiệp phát hành</w:t>
      </w:r>
      <w:r w:rsidR="008E3CA3">
        <w:rPr>
          <w:b/>
        </w:rPr>
        <w:t xml:space="preserve">, </w:t>
      </w:r>
      <w:r w:rsidR="008E3CA3" w:rsidRPr="008E3CA3">
        <w:t>yêu cầu doanh nghiệp phát hành</w:t>
      </w:r>
      <w:r w:rsidR="0089608D" w:rsidRPr="001914AB">
        <w:t xml:space="preserve"> phải mua lại trước hạn bắt buộc khi vi phạm phương án phát hành (trong đó có phương án sử dụng vốn) hoặc vi phạm pháp luật; trước và sau khi phát hành phải có công bố thông tin về khả năng đảm bảo thanh toán, </w:t>
      </w:r>
      <w:r w:rsidR="0089608D">
        <w:t xml:space="preserve">báo cáo kiểm toán tình hình </w:t>
      </w:r>
      <w:r w:rsidR="0089608D" w:rsidRPr="001914AB">
        <w:t>tài chính</w:t>
      </w:r>
      <w:r w:rsidR="0089608D">
        <w:t xml:space="preserve"> và kiểm toán tình hình sử dụng vốn </w:t>
      </w:r>
      <w:r w:rsidR="0089608D" w:rsidRPr="003A7CEC">
        <w:t>theo mục đích phát hành đã được công bố</w:t>
      </w:r>
      <w:r w:rsidR="00AC13A3">
        <w:t>; b</w:t>
      </w:r>
      <w:r w:rsidR="0089608D" w:rsidRPr="001914AB">
        <w:t>ổ sung quy định tài sản bảo đảm của trái phiếu phải được định giá và đăng ký biện pháp bảo đảm</w:t>
      </w:r>
      <w:r w:rsidR="00AC13A3">
        <w:t xml:space="preserve">; (iii) </w:t>
      </w:r>
      <w:r w:rsidR="008E3CA3">
        <w:t xml:space="preserve">Về trách nhiệm của nhà đầu tư, </w:t>
      </w:r>
      <w:r w:rsidR="008E3CA3">
        <w:rPr>
          <w:b/>
        </w:rPr>
        <w:t>n</w:t>
      </w:r>
      <w:r w:rsidR="0089608D">
        <w:rPr>
          <w:b/>
        </w:rPr>
        <w:t>âng cao tính chuyên nghiệp của</w:t>
      </w:r>
      <w:r w:rsidR="0089608D" w:rsidRPr="001914AB">
        <w:rPr>
          <w:b/>
        </w:rPr>
        <w:t xml:space="preserve"> nhà đầu tư</w:t>
      </w:r>
      <w:r w:rsidR="0089608D" w:rsidRPr="00BC148A">
        <w:t xml:space="preserve"> khi mua TPDN riêng lẻ</w:t>
      </w:r>
      <w:r w:rsidR="002244D6">
        <w:t xml:space="preserve"> </w:t>
      </w:r>
      <w:r w:rsidR="008E3CA3">
        <w:t xml:space="preserve">thông qua </w:t>
      </w:r>
      <w:r w:rsidR="00AC13A3">
        <w:t>quy định về xác định tư cách nhà đầu tư</w:t>
      </w:r>
      <w:r w:rsidR="008E3CA3">
        <w:t>,</w:t>
      </w:r>
      <w:r w:rsidR="00AC13A3">
        <w:t xml:space="preserve"> yêu cầu nhà đầu tư phải </w:t>
      </w:r>
      <w:r w:rsidR="0089608D" w:rsidRPr="00BC148A">
        <w:t>đọc, hiểu và ký văn bản xác nhận đã tiếp cận đầy đủ các tài liệu về trái phiếu dự kiến mua</w:t>
      </w:r>
      <w:r w:rsidR="0089608D" w:rsidRPr="001914AB">
        <w:t xml:space="preserve"> và hiểu biết pháp luật, chấp nhận rủi ro về TPDN riêng lẻ (cả trên thị trường sơ cấp và thứ cấp); </w:t>
      </w:r>
      <w:r w:rsidR="00AC13A3">
        <w:t xml:space="preserve"> n</w:t>
      </w:r>
      <w:r w:rsidR="0089608D" w:rsidRPr="001914AB">
        <w:t>hà đầu tư không được phép bán hoặc cùng góp vốn đầu tư trái phiếu với nhà đầu tư không phải là nhà đ</w:t>
      </w:r>
      <w:r w:rsidR="00AC13A3">
        <w:t>ầu tư chứng khoán chuyên nghiệp; (iv)</w:t>
      </w:r>
      <w:r w:rsidR="008E3CA3">
        <w:t xml:space="preserve"> Về trách nhiệm của các tổ chức cung cấp dịch vụ,</w:t>
      </w:r>
      <w:r w:rsidR="00AC13A3">
        <w:t xml:space="preserve"> </w:t>
      </w:r>
      <w:r w:rsidR="008E3CA3">
        <w:rPr>
          <w:b/>
        </w:rPr>
        <w:t>b</w:t>
      </w:r>
      <w:r w:rsidR="008E3CA3" w:rsidRPr="001914AB">
        <w:rPr>
          <w:b/>
        </w:rPr>
        <w:t xml:space="preserve">ổ </w:t>
      </w:r>
      <w:r w:rsidR="0089608D" w:rsidRPr="001914AB">
        <w:rPr>
          <w:b/>
        </w:rPr>
        <w:t>sung quy định nhằm tăng cường tính minh bạch và tuân thủ pháp luật của các tổ chức cung cấp dịch v</w:t>
      </w:r>
      <w:r w:rsidR="0089608D">
        <w:rPr>
          <w:b/>
        </w:rPr>
        <w:t>ụ</w:t>
      </w:r>
      <w:r w:rsidR="008E3CA3">
        <w:t>: Nghị định quy định</w:t>
      </w:r>
      <w:r w:rsidR="00AC13A3">
        <w:t xml:space="preserve"> đ</w:t>
      </w:r>
      <w:r w:rsidR="0089608D">
        <w:t xml:space="preserve">ại lý phát hành là công ty chứng khoán được UBCKNN cấp phép hoặc ngân hàng thương mại được NHNN cấp phép; </w:t>
      </w:r>
      <w:r w:rsidR="00AC13A3">
        <w:t>t</w:t>
      </w:r>
      <w:r w:rsidR="0089608D">
        <w:t>ổ chức đấu thầu, bảo lãnh, đại lý phát hành phải xác nhận về việc doanh nghiệp phát hành đã nhận đủ tiền thu từ phát hành trái phiếu</w:t>
      </w:r>
      <w:r w:rsidR="00AC13A3">
        <w:t>; t</w:t>
      </w:r>
      <w:r w:rsidR="0089608D" w:rsidRPr="001914AB">
        <w:t>ổ chức cung cấp dịch vụ không được là người có liên quan của doanh nghiệ</w:t>
      </w:r>
      <w:r w:rsidR="0089608D">
        <w:t>p phát hành</w:t>
      </w:r>
      <w:r w:rsidR="0089608D" w:rsidRPr="001914AB">
        <w:t xml:space="preserve">; </w:t>
      </w:r>
      <w:r w:rsidR="00AC13A3">
        <w:t>bổ sung trách nhiệm cụ thể của các tổ chức cung cấp dịch vụ, t</w:t>
      </w:r>
      <w:r w:rsidR="0089608D" w:rsidRPr="001914AB">
        <w:t xml:space="preserve">rường hợp các tổ chức này vi phạm quy định của pháp luật thì tùy theo tính chất và mức độ sẽ bị xử </w:t>
      </w:r>
      <w:r w:rsidR="00AC13A3">
        <w:t xml:space="preserve">lý theo quy định; (v) </w:t>
      </w:r>
      <w:r w:rsidR="0089608D" w:rsidRPr="001914AB">
        <w:rPr>
          <w:b/>
        </w:rPr>
        <w:t>Bổ sung quy định để thiết lập thị trường giao dịch có tổ chức</w:t>
      </w:r>
      <w:r w:rsidR="000A65E3">
        <w:t>, d</w:t>
      </w:r>
      <w:r w:rsidR="0089608D" w:rsidRPr="001914AB">
        <w:t>oanh nghiệp phát hành TPDN riêng lẻ phải lưu ký tập trung tại Tổng công ty LKBTCK, sau đó đăng ký giao dịch tại Sở GDCK</w:t>
      </w:r>
      <w:r w:rsidR="000A65E3">
        <w:t xml:space="preserve">; (vi) </w:t>
      </w:r>
      <w:r w:rsidR="0089608D">
        <w:rPr>
          <w:b/>
        </w:rPr>
        <w:t>Hoàn thiện quy định về cơ chế</w:t>
      </w:r>
      <w:r w:rsidR="0089608D" w:rsidRPr="001914AB">
        <w:rPr>
          <w:b/>
        </w:rPr>
        <w:t xml:space="preserve"> quản lý, giám sát</w:t>
      </w:r>
      <w:r w:rsidR="000A65E3">
        <w:t>, b</w:t>
      </w:r>
      <w:r w:rsidR="0089608D" w:rsidRPr="001914AB">
        <w:t>ổ sung trách nhiệm giám sát của Sở GDCK, Tổng công ty LKBTCK và trách nhiệm của UBCKNN trong việc quản lý, giám sát và thanh, kiểm tra, xử lý vi phạm. Bộ Tài chính có trách nhiệm đánh giá việc thực hiện cơ chế chính sách; quản lý, giám sát tổ chức kiểm toán, doanh nghiệp thẩm định giá khi cung cấp dịch vụ liên quan đến TPDN; NHNN có trách nhiệm giám sát các tổ chức tín dụng khi cấp phép cho các tổ chức này cung cấp dịch vụ đấu thầu, đại lý phát hành trái phiếu.</w:t>
      </w:r>
    </w:p>
    <w:p w:rsidR="00471EFB" w:rsidRPr="002C7D6C" w:rsidRDefault="002C7D6C" w:rsidP="00095C0A">
      <w:pPr>
        <w:widowControl w:val="0"/>
        <w:spacing w:before="120" w:after="120" w:line="320" w:lineRule="exact"/>
        <w:ind w:firstLine="709"/>
        <w:jc w:val="both"/>
      </w:pPr>
      <w:r w:rsidRPr="002C7D6C">
        <w:t>-</w:t>
      </w:r>
      <w:r w:rsidR="00471EFB" w:rsidRPr="002C7D6C">
        <w:t xml:space="preserve"> Diễn biến thị trường tài chính, tiền tệ </w:t>
      </w:r>
      <w:r w:rsidR="008E3CA3">
        <w:t xml:space="preserve">trong nước </w:t>
      </w:r>
      <w:r w:rsidR="00471EFB" w:rsidRPr="002C7D6C">
        <w:t xml:space="preserve">trước và sau thời điểm ban hành Nghị định số 65/2022/NĐ-CP </w:t>
      </w:r>
      <w:r w:rsidR="007A34D8">
        <w:t>như sau:</w:t>
      </w:r>
    </w:p>
    <w:p w:rsidR="00130151" w:rsidRDefault="00130151" w:rsidP="00095C0A">
      <w:pPr>
        <w:spacing w:before="120" w:after="120" w:line="320" w:lineRule="exact"/>
        <w:ind w:firstLine="720"/>
        <w:jc w:val="both"/>
        <w:rPr>
          <w:rFonts w:eastAsia="Calibri"/>
          <w:lang w:val="nl-NL"/>
        </w:rPr>
      </w:pPr>
      <w:r>
        <w:rPr>
          <w:rFonts w:eastAsia="Calibri"/>
          <w:lang w:val="nl-NL"/>
        </w:rPr>
        <w:lastRenderedPageBreak/>
        <w:t>+</w:t>
      </w:r>
      <w:r w:rsidRPr="00130151">
        <w:rPr>
          <w:rFonts w:eastAsia="Calibri"/>
          <w:lang w:val="nl-NL"/>
        </w:rPr>
        <w:t xml:space="preserve"> Từ sau vụ việc Tân Hoàng Minh, khối lượng phát hành TPDN giảm và khối lượng mua lại tăng</w:t>
      </w:r>
      <w:r w:rsidRPr="00130151">
        <w:rPr>
          <w:rFonts w:eastAsia="Calibri"/>
          <w:vertAlign w:val="superscript"/>
          <w:lang w:val="nl-NL"/>
        </w:rPr>
        <w:footnoteReference w:id="1"/>
      </w:r>
      <w:r w:rsidRPr="00130151">
        <w:rPr>
          <w:rFonts w:eastAsia="Calibri"/>
          <w:lang w:val="nl-NL"/>
        </w:rPr>
        <w:t>.</w:t>
      </w:r>
      <w:r>
        <w:rPr>
          <w:rFonts w:eastAsia="Calibri"/>
          <w:lang w:val="nl-NL"/>
        </w:rPr>
        <w:t xml:space="preserve"> </w:t>
      </w:r>
      <w:r w:rsidRPr="00130151">
        <w:rPr>
          <w:rFonts w:eastAsia="Calibri"/>
          <w:lang w:val="nl-NL"/>
        </w:rPr>
        <w:t xml:space="preserve">Từ sau khi Nghị định số 65 được ban hành và có hiệu lực thi hành (ngày 16/9/2022) đến </w:t>
      </w:r>
      <w:r w:rsidR="00722242">
        <w:rPr>
          <w:rFonts w:eastAsia="Calibri"/>
          <w:lang w:val="nl-NL"/>
        </w:rPr>
        <w:t>25</w:t>
      </w:r>
      <w:r w:rsidRPr="00130151">
        <w:rPr>
          <w:rFonts w:eastAsia="Calibri"/>
          <w:lang w:val="nl-NL"/>
        </w:rPr>
        <w:t>/1</w:t>
      </w:r>
      <w:r w:rsidR="00722242">
        <w:rPr>
          <w:rFonts w:eastAsia="Calibri"/>
          <w:lang w:val="nl-NL"/>
        </w:rPr>
        <w:t>2</w:t>
      </w:r>
      <w:r w:rsidRPr="00130151">
        <w:rPr>
          <w:rFonts w:eastAsia="Calibri"/>
          <w:lang w:val="nl-NL"/>
        </w:rPr>
        <w:t xml:space="preserve">/2022, các doanh nghiệp đã phát hành được </w:t>
      </w:r>
      <w:r w:rsidR="00722242">
        <w:rPr>
          <w:rFonts w:eastAsia="Calibri"/>
        </w:rPr>
        <w:t>8.292,3</w:t>
      </w:r>
      <w:r w:rsidRPr="00130151">
        <w:rPr>
          <w:rFonts w:eastAsia="Calibri"/>
        </w:rPr>
        <w:t xml:space="preserve"> tỷ đồng, trong đó </w:t>
      </w:r>
      <w:r w:rsidR="00DC1576">
        <w:rPr>
          <w:rFonts w:eastAsia="Calibri"/>
        </w:rPr>
        <w:t xml:space="preserve">khối lượng phát hành của </w:t>
      </w:r>
      <w:r w:rsidR="00523448">
        <w:rPr>
          <w:rFonts w:eastAsia="Calibri"/>
        </w:rPr>
        <w:t xml:space="preserve">doanh nghiệp xây dựng chiếm </w:t>
      </w:r>
      <w:r w:rsidR="00722242">
        <w:rPr>
          <w:rFonts w:eastAsia="Calibri"/>
        </w:rPr>
        <w:t>13</w:t>
      </w:r>
      <w:r w:rsidR="00523448">
        <w:rPr>
          <w:rFonts w:eastAsia="Calibri"/>
        </w:rPr>
        <w:t>,</w:t>
      </w:r>
      <w:r w:rsidR="00722242">
        <w:rPr>
          <w:rFonts w:eastAsia="Calibri"/>
        </w:rPr>
        <w:t>08</w:t>
      </w:r>
      <w:r w:rsidR="00523448">
        <w:rPr>
          <w:rFonts w:eastAsia="Calibri"/>
        </w:rPr>
        <w:t xml:space="preserve">%, </w:t>
      </w:r>
      <w:r w:rsidR="00722242" w:rsidRPr="00130151">
        <w:rPr>
          <w:rFonts w:eastAsia="Calibri"/>
        </w:rPr>
        <w:t xml:space="preserve">doanh nghiệp bất động sản chiếm </w:t>
      </w:r>
      <w:r w:rsidR="00722242">
        <w:rPr>
          <w:rFonts w:eastAsia="Calibri"/>
        </w:rPr>
        <w:t xml:space="preserve">13,63%, </w:t>
      </w:r>
      <w:r w:rsidRPr="00130151">
        <w:rPr>
          <w:rFonts w:eastAsia="Calibri"/>
        </w:rPr>
        <w:t xml:space="preserve">doanh nghiệp sản xuất, dịch vụ chiếm </w:t>
      </w:r>
      <w:r w:rsidR="00722242">
        <w:rPr>
          <w:rFonts w:eastAsia="Calibri"/>
        </w:rPr>
        <w:t>16</w:t>
      </w:r>
      <w:r w:rsidR="00523448">
        <w:rPr>
          <w:rFonts w:eastAsia="Calibri"/>
        </w:rPr>
        <w:t>,</w:t>
      </w:r>
      <w:r w:rsidR="00722242">
        <w:rPr>
          <w:rFonts w:eastAsia="Calibri"/>
        </w:rPr>
        <w:t>34</w:t>
      </w:r>
      <w:r w:rsidRPr="00130151">
        <w:rPr>
          <w:rFonts w:eastAsia="Calibri"/>
        </w:rPr>
        <w:t>%</w:t>
      </w:r>
      <w:r w:rsidR="009227ED">
        <w:rPr>
          <w:rFonts w:eastAsia="Calibri"/>
        </w:rPr>
        <w:t>,</w:t>
      </w:r>
      <w:r w:rsidRPr="00130151">
        <w:rPr>
          <w:rFonts w:eastAsia="Calibri"/>
        </w:rPr>
        <w:t xml:space="preserve"> </w:t>
      </w:r>
      <w:r w:rsidR="009227ED" w:rsidRPr="00130151">
        <w:rPr>
          <w:rFonts w:eastAsia="Calibri"/>
        </w:rPr>
        <w:t xml:space="preserve">tổ chức tín dụng chiếm </w:t>
      </w:r>
      <w:r w:rsidR="00722242">
        <w:rPr>
          <w:rFonts w:eastAsia="Calibri"/>
        </w:rPr>
        <w:t>10</w:t>
      </w:r>
      <w:r w:rsidR="009227ED">
        <w:rPr>
          <w:rFonts w:eastAsia="Calibri"/>
        </w:rPr>
        <w:t>,</w:t>
      </w:r>
      <w:r w:rsidR="00722242">
        <w:rPr>
          <w:rFonts w:eastAsia="Calibri"/>
        </w:rPr>
        <w:t>52</w:t>
      </w:r>
      <w:r w:rsidR="009227ED" w:rsidRPr="00130151">
        <w:rPr>
          <w:rFonts w:eastAsia="Calibri"/>
        </w:rPr>
        <w:t xml:space="preserve">%, </w:t>
      </w:r>
      <w:r w:rsidR="00722242">
        <w:rPr>
          <w:rFonts w:eastAsia="Calibri"/>
        </w:rPr>
        <w:t>còn lại là các</w:t>
      </w:r>
      <w:r w:rsidR="009227ED">
        <w:rPr>
          <w:rFonts w:eastAsia="Calibri"/>
        </w:rPr>
        <w:t xml:space="preserve"> lĩnh vực khác</w:t>
      </w:r>
      <w:r w:rsidRPr="00130151">
        <w:rPr>
          <w:rFonts w:eastAsia="Calibri"/>
        </w:rPr>
        <w:t xml:space="preserve">. </w:t>
      </w:r>
      <w:r w:rsidR="009227ED">
        <w:rPr>
          <w:rFonts w:eastAsia="Calibri"/>
          <w:lang w:val="nl-NL"/>
        </w:rPr>
        <w:t>T</w:t>
      </w:r>
      <w:r w:rsidRPr="00130151">
        <w:rPr>
          <w:rFonts w:eastAsia="Calibri"/>
          <w:lang w:val="nl-NL"/>
        </w:rPr>
        <w:t>ừ tháng 09/2022, thị trường TPDN bị tác động mạnh bởi khó khăn của thị trường tiền tệ khi lãi suất tăng mạnh, tỷ giá VND so với USD tăng mạnh</w:t>
      </w:r>
      <w:r w:rsidRPr="00130151">
        <w:rPr>
          <w:rFonts w:eastAsia="Calibri"/>
          <w:vertAlign w:val="superscript"/>
          <w:lang w:val="nl-NL"/>
        </w:rPr>
        <w:footnoteReference w:id="2"/>
      </w:r>
      <w:r w:rsidRPr="00130151">
        <w:rPr>
          <w:rFonts w:eastAsia="Calibri"/>
          <w:lang w:val="nl-NL"/>
        </w:rPr>
        <w:t>. Đặc biệt từ ngày 06/10/2022, sau vụ việc Vạn Thịnh Phát và Ngân hàng SCB, diễn biến trên thị trường</w:t>
      </w:r>
      <w:r w:rsidR="00DC1576">
        <w:rPr>
          <w:rFonts w:eastAsia="Calibri"/>
          <w:lang w:val="nl-NL"/>
        </w:rPr>
        <w:t xml:space="preserve"> tài chính,</w:t>
      </w:r>
      <w:r w:rsidRPr="00130151">
        <w:rPr>
          <w:rFonts w:eastAsia="Calibri"/>
          <w:lang w:val="nl-NL"/>
        </w:rPr>
        <w:t xml:space="preserve"> tiền tệ, </w:t>
      </w:r>
      <w:r w:rsidR="00DC1576">
        <w:rPr>
          <w:rFonts w:eastAsia="Calibri"/>
          <w:lang w:val="nl-NL"/>
        </w:rPr>
        <w:t xml:space="preserve">đặc biệt là thị trường chứng khoán, thị trường </w:t>
      </w:r>
      <w:r w:rsidRPr="00130151">
        <w:rPr>
          <w:rFonts w:eastAsia="Calibri"/>
          <w:lang w:val="nl-NL"/>
        </w:rPr>
        <w:t xml:space="preserve">trái phiếu tiếp tục </w:t>
      </w:r>
      <w:r w:rsidR="00220C1C">
        <w:rPr>
          <w:rFonts w:eastAsia="Calibri"/>
          <w:lang w:val="nl-NL"/>
        </w:rPr>
        <w:t>khó khăn</w:t>
      </w:r>
      <w:r w:rsidRPr="00130151">
        <w:rPr>
          <w:rFonts w:eastAsia="Calibri"/>
          <w:lang w:val="nl-NL"/>
        </w:rPr>
        <w:t xml:space="preserve">. </w:t>
      </w:r>
    </w:p>
    <w:p w:rsidR="00220C1C" w:rsidRDefault="00220C1C" w:rsidP="00095C0A">
      <w:pPr>
        <w:spacing w:before="120" w:after="120" w:line="320" w:lineRule="exact"/>
        <w:ind w:firstLine="720"/>
        <w:jc w:val="both"/>
        <w:rPr>
          <w:rFonts w:eastAsia="Calibri"/>
          <w:lang w:val="nl-NL"/>
        </w:rPr>
      </w:pPr>
      <w:r>
        <w:rPr>
          <w:rFonts w:eastAsia="Calibri"/>
          <w:lang w:val="nl-NL"/>
        </w:rPr>
        <w:t xml:space="preserve">+ Khó khăn của thị trường TPDN hiện nay gồm: </w:t>
      </w:r>
      <w:r w:rsidR="008406ED">
        <w:rPr>
          <w:rFonts w:eastAsia="Calibri"/>
          <w:lang w:val="nl-NL"/>
        </w:rPr>
        <w:t xml:space="preserve">(i) </w:t>
      </w:r>
      <w:r>
        <w:rPr>
          <w:rFonts w:eastAsia="Calibri"/>
          <w:lang w:val="nl-NL"/>
        </w:rPr>
        <w:t xml:space="preserve">khối lượng phát hành trái phiếu mới sụt giảm; </w:t>
      </w:r>
      <w:r w:rsidR="008406ED">
        <w:rPr>
          <w:rFonts w:eastAsia="Calibri"/>
          <w:lang w:val="nl-NL"/>
        </w:rPr>
        <w:t xml:space="preserve">(ii) </w:t>
      </w:r>
      <w:r>
        <w:rPr>
          <w:rFonts w:eastAsia="Calibri"/>
          <w:lang w:val="nl-NL"/>
        </w:rPr>
        <w:t xml:space="preserve">khối lượng mua lại tăng và có hiện tượng nhà đầu tư </w:t>
      </w:r>
      <w:r w:rsidR="000D0E81">
        <w:rPr>
          <w:rFonts w:eastAsia="Calibri"/>
          <w:lang w:val="nl-NL"/>
        </w:rPr>
        <w:t>bán lại</w:t>
      </w:r>
      <w:r>
        <w:rPr>
          <w:rFonts w:eastAsia="Calibri"/>
          <w:lang w:val="nl-NL"/>
        </w:rPr>
        <w:t xml:space="preserve"> trái phiếu; </w:t>
      </w:r>
      <w:r w:rsidR="005B2891">
        <w:rPr>
          <w:rFonts w:eastAsia="Calibri"/>
          <w:lang w:val="nl-NL"/>
        </w:rPr>
        <w:t xml:space="preserve">(iii) </w:t>
      </w:r>
      <w:r>
        <w:rPr>
          <w:rFonts w:eastAsia="Calibri"/>
          <w:lang w:val="nl-NL"/>
        </w:rPr>
        <w:t xml:space="preserve">khối lượng trái phiếu đến hạn trong thời gian tới lớn, doanh nghiệp có khó khăn về dòng tiền để cân đối nguồn lực thanh toán các nghĩa vụ nợ đến hạn và </w:t>
      </w:r>
      <w:r w:rsidR="000D0E81">
        <w:rPr>
          <w:rFonts w:eastAsia="Calibri"/>
          <w:lang w:val="nl-NL"/>
        </w:rPr>
        <w:t>huy động vốn cho hoạt động sản xuất, kinh doanh.</w:t>
      </w:r>
    </w:p>
    <w:p w:rsidR="000D0E81" w:rsidRPr="00130151" w:rsidRDefault="000D0E81" w:rsidP="00095C0A">
      <w:pPr>
        <w:spacing w:before="120" w:after="120" w:line="320" w:lineRule="exact"/>
        <w:ind w:firstLine="720"/>
        <w:jc w:val="both"/>
        <w:rPr>
          <w:rFonts w:eastAsia="Calibri"/>
          <w:lang w:val="nl-NL"/>
        </w:rPr>
      </w:pPr>
      <w:r>
        <w:rPr>
          <w:rFonts w:eastAsia="Calibri"/>
          <w:lang w:val="nl-NL"/>
        </w:rPr>
        <w:t xml:space="preserve">+ Nguyên nhân chủ yếu của tình hình trên là do: </w:t>
      </w:r>
      <w:r w:rsidRPr="00130151">
        <w:rPr>
          <w:rFonts w:eastAsia="Calibri"/>
          <w:lang w:val="nl-NL"/>
        </w:rPr>
        <w:t>(</w:t>
      </w:r>
      <w:r w:rsidRPr="00130151">
        <w:rPr>
          <w:rFonts w:eastAsia="Calibri"/>
        </w:rPr>
        <w:t xml:space="preserve">i) </w:t>
      </w:r>
      <w:r w:rsidRPr="00130151">
        <w:rPr>
          <w:rFonts w:eastAsia="Calibri"/>
          <w:lang w:val="nl-NL"/>
        </w:rPr>
        <w:t xml:space="preserve">sai phạm của một số doanh nghiệp khi bị cơ quan điều tra phát hiện </w:t>
      </w:r>
      <w:r>
        <w:rPr>
          <w:rFonts w:eastAsia="Calibri"/>
          <w:lang w:val="nl-NL"/>
        </w:rPr>
        <w:t>và</w:t>
      </w:r>
      <w:r w:rsidRPr="00130151">
        <w:rPr>
          <w:rFonts w:eastAsia="Calibri"/>
        </w:rPr>
        <w:t xml:space="preserve"> một số tin không chính thống, gây </w:t>
      </w:r>
      <w:r w:rsidRPr="00130151">
        <w:rPr>
          <w:rFonts w:eastAsia="Calibri"/>
          <w:b/>
        </w:rPr>
        <w:t xml:space="preserve">ảnh hưởng tiêu cực đến thị trường và </w:t>
      </w:r>
      <w:r>
        <w:rPr>
          <w:rFonts w:eastAsia="Calibri"/>
          <w:b/>
        </w:rPr>
        <w:t>niềm tin của</w:t>
      </w:r>
      <w:r w:rsidRPr="00130151">
        <w:rPr>
          <w:rFonts w:eastAsia="Calibri"/>
          <w:b/>
        </w:rPr>
        <w:t xml:space="preserve"> nhà đầu tư</w:t>
      </w:r>
      <w:r w:rsidRPr="00130151">
        <w:rPr>
          <w:rFonts w:eastAsia="Calibri"/>
        </w:rPr>
        <w:t xml:space="preserve">; (ii) </w:t>
      </w:r>
      <w:r>
        <w:rPr>
          <w:rFonts w:eastAsia="Calibri"/>
        </w:rPr>
        <w:t xml:space="preserve">thanh khoản của </w:t>
      </w:r>
      <w:r w:rsidR="008406ED">
        <w:rPr>
          <w:rFonts w:eastAsia="Calibri"/>
        </w:rPr>
        <w:t xml:space="preserve">cả </w:t>
      </w:r>
      <w:r>
        <w:rPr>
          <w:rFonts w:eastAsia="Calibri"/>
        </w:rPr>
        <w:t>nền kinh</w:t>
      </w:r>
      <w:r w:rsidR="008406ED">
        <w:rPr>
          <w:rFonts w:eastAsia="Calibri"/>
        </w:rPr>
        <w:t xml:space="preserve"> tế gặp khó khăn nên doanh nghiệp gặp khó khăn trong sản xuất kinh doanh và cân đối dòng tiền; (iii) lãi suất ngân hàng tăng mạn</w:t>
      </w:r>
      <w:r w:rsidR="005B2891">
        <w:rPr>
          <w:rFonts w:eastAsia="Calibri"/>
        </w:rPr>
        <w:t>h</w:t>
      </w:r>
      <w:r w:rsidR="008406ED">
        <w:rPr>
          <w:rFonts w:eastAsia="Calibri"/>
        </w:rPr>
        <w:t xml:space="preserve"> trong thời gian ngắn dẫn đến xu hướng dịch chuyển dòng vốn từ thị trường chứng khoán sang kênh ngân hàng, nhà đầu tư bán lại TPDN để chuyển sang gửi tiền tiết kiệm ngân hàng với lãi suất cao. </w:t>
      </w:r>
    </w:p>
    <w:p w:rsidR="00610333" w:rsidRDefault="005B2891" w:rsidP="00095C0A">
      <w:pPr>
        <w:spacing w:before="120" w:after="120" w:line="320" w:lineRule="exact"/>
        <w:ind w:firstLine="720"/>
        <w:jc w:val="both"/>
        <w:rPr>
          <w:rFonts w:eastAsia="Calibri"/>
          <w:lang w:val="nl-NL"/>
        </w:rPr>
      </w:pPr>
      <w:r>
        <w:rPr>
          <w:rFonts w:eastAsia="Calibri"/>
          <w:lang w:val="nl-NL"/>
        </w:rPr>
        <w:t xml:space="preserve">- Do nguyên nhân chủ yếu của thị trường </w:t>
      </w:r>
      <w:r w:rsidR="00141700">
        <w:rPr>
          <w:rFonts w:eastAsia="Calibri"/>
          <w:lang w:val="nl-NL"/>
        </w:rPr>
        <w:t xml:space="preserve">TPDN </w:t>
      </w:r>
      <w:r>
        <w:rPr>
          <w:rFonts w:eastAsia="Calibri"/>
          <w:lang w:val="nl-NL"/>
        </w:rPr>
        <w:t>là xử lý vấn đề về niềm tin và tha</w:t>
      </w:r>
      <w:r w:rsidR="001B6CAA">
        <w:rPr>
          <w:rFonts w:eastAsia="Calibri"/>
          <w:lang w:val="nl-NL"/>
        </w:rPr>
        <w:t>n</w:t>
      </w:r>
      <w:r>
        <w:rPr>
          <w:rFonts w:eastAsia="Calibri"/>
          <w:lang w:val="nl-NL"/>
        </w:rPr>
        <w:t xml:space="preserve">h khoản của thị trường nên </w:t>
      </w:r>
      <w:r w:rsidR="00610333">
        <w:rPr>
          <w:rFonts w:eastAsia="Calibri"/>
          <w:lang w:val="nl-NL"/>
        </w:rPr>
        <w:t xml:space="preserve">ngày 23/11/2022 </w:t>
      </w:r>
      <w:r>
        <w:rPr>
          <w:rFonts w:eastAsia="Calibri"/>
          <w:lang w:val="nl-NL"/>
        </w:rPr>
        <w:t xml:space="preserve">Bộ Tài chính đã tổ chức buổi làm với </w:t>
      </w:r>
      <w:r w:rsidR="001B6CAA">
        <w:rPr>
          <w:rFonts w:eastAsia="Calibri"/>
          <w:lang w:val="nl-NL"/>
        </w:rPr>
        <w:t xml:space="preserve">các </w:t>
      </w:r>
      <w:r>
        <w:rPr>
          <w:rFonts w:eastAsia="Calibri"/>
          <w:lang w:val="nl-NL"/>
        </w:rPr>
        <w:t>doanh nghiệp phát hành có dư nợ trái phiếu l</w:t>
      </w:r>
      <w:r w:rsidR="001B6CAA">
        <w:rPr>
          <w:rFonts w:eastAsia="Calibri"/>
          <w:lang w:val="nl-NL"/>
        </w:rPr>
        <w:t>ớ</w:t>
      </w:r>
      <w:r>
        <w:rPr>
          <w:rFonts w:eastAsia="Calibri"/>
          <w:lang w:val="nl-NL"/>
        </w:rPr>
        <w:t xml:space="preserve">n và một số công ty chứng khoán </w:t>
      </w:r>
      <w:r w:rsidR="0029168F">
        <w:rPr>
          <w:rFonts w:eastAsia="Calibri"/>
          <w:lang w:val="nl-NL"/>
        </w:rPr>
        <w:t>về các khó khăn, vướng mắc của thị trường</w:t>
      </w:r>
      <w:r>
        <w:rPr>
          <w:rFonts w:eastAsia="Calibri"/>
          <w:lang w:val="nl-NL"/>
        </w:rPr>
        <w:t xml:space="preserve"> để kiến nghị Chính phủ, Thủ tướng Chính phủ và cấp có thẩm quyền các giải pháp vĩ mô về chính sách tiền tệ, vấn đề truy</w:t>
      </w:r>
      <w:r w:rsidR="0029168F">
        <w:rPr>
          <w:rFonts w:eastAsia="Calibri"/>
          <w:lang w:val="nl-NL"/>
        </w:rPr>
        <w:t>ề</w:t>
      </w:r>
      <w:r>
        <w:rPr>
          <w:rFonts w:eastAsia="Calibri"/>
          <w:lang w:val="nl-NL"/>
        </w:rPr>
        <w:t>n thông, thanh kiểm tra và tổ chức thị trường để lấy lại niềm tin và tháo gỡ khó khăn thanh khoản cho thị trường.</w:t>
      </w:r>
      <w:r w:rsidR="00A35C04">
        <w:rPr>
          <w:rFonts w:eastAsia="Calibri"/>
          <w:lang w:val="nl-NL"/>
        </w:rPr>
        <w:t xml:space="preserve"> </w:t>
      </w:r>
    </w:p>
    <w:p w:rsidR="00F82E6F" w:rsidRDefault="00610333" w:rsidP="00095C0A">
      <w:pPr>
        <w:spacing w:before="120" w:after="120" w:line="320" w:lineRule="exact"/>
        <w:ind w:firstLine="720"/>
        <w:jc w:val="both"/>
      </w:pPr>
      <w:r>
        <w:rPr>
          <w:rFonts w:eastAsia="Calibri"/>
          <w:lang w:val="nl-NL"/>
        </w:rPr>
        <w:t xml:space="preserve">- </w:t>
      </w:r>
      <w:r w:rsidR="00A35C04">
        <w:rPr>
          <w:rFonts w:eastAsia="Calibri"/>
          <w:lang w:val="nl-NL"/>
        </w:rPr>
        <w:t xml:space="preserve">Riêng về vấn đề pháp lý, Bộ Tài chính đã chỉ đạo UBCKNN nghiên cứu, rà soát Luật Chứng khoán và phối hợp với Bộ </w:t>
      </w:r>
      <w:r w:rsidR="00141700">
        <w:rPr>
          <w:rFonts w:eastAsia="Calibri"/>
          <w:lang w:val="nl-NL"/>
        </w:rPr>
        <w:t>KHĐT</w:t>
      </w:r>
      <w:r w:rsidR="00A35C04">
        <w:rPr>
          <w:rFonts w:eastAsia="Calibri"/>
          <w:lang w:val="nl-NL"/>
        </w:rPr>
        <w:t xml:space="preserve"> rà soát Luật Doanh nghiệp để sửa đổi các nội dung về nhà đầu tư chứng khoán chuyên nghiệp và điều kiện phát hành TPDN riêng lẻ. Về quy định tại Nghị định số 65, các doanh nghiệp phát hành, thành viên thị trường và các chuyên gia đánh giá định hướng của Nghị định là tốt trong </w:t>
      </w:r>
      <w:r w:rsidR="0076668B">
        <w:rPr>
          <w:rFonts w:eastAsia="Calibri"/>
          <w:lang w:val="nl-NL"/>
        </w:rPr>
        <w:t xml:space="preserve">trung, </w:t>
      </w:r>
      <w:r w:rsidR="00A35C04">
        <w:rPr>
          <w:rFonts w:eastAsia="Calibri"/>
          <w:lang w:val="nl-NL"/>
        </w:rPr>
        <w:t>dài hạ</w:t>
      </w:r>
      <w:r w:rsidR="00775F5F">
        <w:rPr>
          <w:rFonts w:eastAsia="Calibri"/>
          <w:lang w:val="nl-NL"/>
        </w:rPr>
        <w:t>n.</w:t>
      </w:r>
      <w:r w:rsidR="00A35C04">
        <w:rPr>
          <w:rFonts w:eastAsia="Calibri"/>
          <w:lang w:val="nl-NL"/>
        </w:rPr>
        <w:t xml:space="preserve"> </w:t>
      </w:r>
      <w:r w:rsidR="00775F5F">
        <w:rPr>
          <w:rFonts w:eastAsia="Calibri"/>
          <w:lang w:val="nl-NL"/>
        </w:rPr>
        <w:t>T</w:t>
      </w:r>
      <w:r w:rsidR="00A35C04">
        <w:rPr>
          <w:rFonts w:eastAsia="Calibri"/>
          <w:lang w:val="nl-NL"/>
        </w:rPr>
        <w:t>uy nhiên</w:t>
      </w:r>
      <w:r w:rsidR="00775F5F">
        <w:rPr>
          <w:rFonts w:eastAsia="Calibri"/>
          <w:lang w:val="nl-NL"/>
        </w:rPr>
        <w:t xml:space="preserve"> do nền kinh tế gặp khó khăn về thanh khoản và niềm tin của thị trường bị ảnh hưởng</w:t>
      </w:r>
      <w:r w:rsidR="0076668B">
        <w:rPr>
          <w:rFonts w:eastAsia="Calibri"/>
          <w:lang w:val="nl-NL"/>
        </w:rPr>
        <w:t>, các doanh nghiệp gặp khó khăn trong việc cân đối nguồn tiền cho sản xuất kinh doanh, thanh toán các nghĩa vụ nợ đến hạn trong năm 2022-2023</w:t>
      </w:r>
      <w:r w:rsidR="00775F5F">
        <w:rPr>
          <w:rFonts w:eastAsia="Calibri"/>
          <w:lang w:val="nl-NL"/>
        </w:rPr>
        <w:t xml:space="preserve"> nên Ch</w:t>
      </w:r>
      <w:r w:rsidR="0029168F">
        <w:rPr>
          <w:rFonts w:eastAsia="Calibri"/>
          <w:lang w:val="nl-NL"/>
        </w:rPr>
        <w:t>í</w:t>
      </w:r>
      <w:r w:rsidR="00775F5F">
        <w:rPr>
          <w:rFonts w:eastAsia="Calibri"/>
          <w:lang w:val="nl-NL"/>
        </w:rPr>
        <w:t xml:space="preserve">nh phủ và Thủ tướng Chính phủ đã có </w:t>
      </w:r>
      <w:r w:rsidR="005C63AC">
        <w:rPr>
          <w:rFonts w:eastAsia="Calibri"/>
          <w:lang w:val="nl-NL"/>
        </w:rPr>
        <w:t xml:space="preserve">các </w:t>
      </w:r>
      <w:r w:rsidR="00775F5F">
        <w:rPr>
          <w:rFonts w:eastAsia="Calibri"/>
          <w:lang w:val="nl-NL"/>
        </w:rPr>
        <w:t xml:space="preserve">chỉ đạo Bộ Tài chính nghiên cứu, đánh giá, đề xuất điều chỉnh lộ trình áp dụng quy định tại Nghị định số 65 </w:t>
      </w:r>
      <w:r w:rsidR="0076668B">
        <w:rPr>
          <w:rFonts w:eastAsia="Calibri"/>
          <w:lang w:val="nl-NL"/>
        </w:rPr>
        <w:t xml:space="preserve">trong bối cảnh hiện nay. </w:t>
      </w:r>
      <w:bookmarkStart w:id="0" w:name="_Hlk25527597"/>
    </w:p>
    <w:bookmarkEnd w:id="0"/>
    <w:p w:rsidR="001A60E3" w:rsidRPr="00F51E3C" w:rsidRDefault="00A852B3" w:rsidP="00095C0A">
      <w:pPr>
        <w:widowControl w:val="0"/>
        <w:spacing w:before="120" w:after="120" w:line="320" w:lineRule="exact"/>
        <w:ind w:firstLine="720"/>
        <w:jc w:val="both"/>
        <w:rPr>
          <w:b/>
          <w:lang w:val="nl-NL"/>
        </w:rPr>
      </w:pPr>
      <w:r w:rsidRPr="00F51E3C">
        <w:rPr>
          <w:b/>
          <w:lang w:val="pt-BR"/>
        </w:rPr>
        <w:t xml:space="preserve">II. </w:t>
      </w:r>
      <w:r w:rsidR="008C264A" w:rsidRPr="00F51E3C">
        <w:rPr>
          <w:b/>
          <w:lang w:val="nl-NL"/>
        </w:rPr>
        <w:t>Q</w:t>
      </w:r>
      <w:r w:rsidR="001A60E3" w:rsidRPr="00F51E3C">
        <w:rPr>
          <w:b/>
          <w:lang w:val="nl-NL"/>
        </w:rPr>
        <w:t>uá trình</w:t>
      </w:r>
      <w:r w:rsidR="008C264A" w:rsidRPr="00F51E3C">
        <w:rPr>
          <w:b/>
          <w:lang w:val="nl-NL"/>
        </w:rPr>
        <w:t>, nguyên tắc và nội dung dự thảo</w:t>
      </w:r>
      <w:r w:rsidR="001A60E3" w:rsidRPr="00F51E3C">
        <w:rPr>
          <w:b/>
          <w:lang w:val="nl-NL"/>
        </w:rPr>
        <w:t xml:space="preserve"> Nghị định</w:t>
      </w:r>
    </w:p>
    <w:p w:rsidR="008C264A" w:rsidRDefault="00CE4C2B" w:rsidP="00095C0A">
      <w:pPr>
        <w:widowControl w:val="0"/>
        <w:spacing w:before="120" w:after="120" w:line="320" w:lineRule="exact"/>
        <w:ind w:firstLine="709"/>
        <w:jc w:val="both"/>
        <w:rPr>
          <w:color w:val="000000"/>
          <w:lang w:val="nl-NL"/>
        </w:rPr>
      </w:pPr>
      <w:bookmarkStart w:id="1" w:name="_Hlk25527767"/>
      <w:r w:rsidRPr="00F51E3C">
        <w:rPr>
          <w:b/>
          <w:lang w:val="pt-BR"/>
        </w:rPr>
        <w:t>1.</w:t>
      </w:r>
      <w:r w:rsidR="00B041FE" w:rsidRPr="00F51E3C">
        <w:rPr>
          <w:b/>
          <w:lang w:val="pt-BR"/>
        </w:rPr>
        <w:t xml:space="preserve"> </w:t>
      </w:r>
      <w:r w:rsidR="008C264A" w:rsidRPr="00F51E3C">
        <w:rPr>
          <w:b/>
          <w:lang w:val="pt-BR"/>
        </w:rPr>
        <w:t>Quá trình xây dựng Nghị định</w:t>
      </w:r>
      <w:r w:rsidR="002608AB" w:rsidRPr="00F51E3C">
        <w:rPr>
          <w:b/>
          <w:lang w:val="vi-VN"/>
        </w:rPr>
        <w:t xml:space="preserve"> </w:t>
      </w:r>
    </w:p>
    <w:p w:rsidR="0076668B" w:rsidRDefault="00077AC4" w:rsidP="00095C0A">
      <w:pPr>
        <w:widowControl w:val="0"/>
        <w:spacing w:before="120" w:after="120" w:line="320" w:lineRule="exact"/>
        <w:ind w:firstLine="709"/>
        <w:jc w:val="both"/>
      </w:pPr>
      <w:r>
        <w:t xml:space="preserve">- Ngày 04/11/2022, tại Nghị quyết số 143/NQ-CP về Phiên họp Chính phủ thường kỳ tháng 10 năm 2022, Chính phủ giao Bộ Tài chính chủ trì, phối hợp với các </w:t>
      </w:r>
      <w:r w:rsidR="00141700">
        <w:t>đơn vị</w:t>
      </w:r>
      <w:r>
        <w:t xml:space="preserve"> báo cáo Thủ tướng Chính phủ để sửa đổi Nghị định số 65. Tiếp theo đó, t</w:t>
      </w:r>
      <w:r w:rsidR="0076668B">
        <w:t xml:space="preserve">ại các Thông báo chỉ đạo, Lãnh đạo Chính phủ giao Bộ Tài chính </w:t>
      </w:r>
      <w:r w:rsidR="0076668B" w:rsidRPr="007A2DED">
        <w:t>chủ trì, phối hợp với Bộ Tư pháp đề xuất việc sửa đổi Nghị định số 65</w:t>
      </w:r>
      <w:r w:rsidR="0076668B">
        <w:rPr>
          <w:rStyle w:val="FootnoteReference"/>
        </w:rPr>
        <w:footnoteReference w:id="3"/>
      </w:r>
      <w:r w:rsidR="0076668B">
        <w:t xml:space="preserve">. </w:t>
      </w:r>
    </w:p>
    <w:p w:rsidR="0076668B" w:rsidRDefault="00077AC4" w:rsidP="00095C0A">
      <w:pPr>
        <w:widowControl w:val="0"/>
        <w:tabs>
          <w:tab w:val="left" w:pos="142"/>
        </w:tabs>
        <w:spacing w:before="120" w:after="120" w:line="320" w:lineRule="exact"/>
        <w:ind w:firstLine="720"/>
        <w:jc w:val="both"/>
      </w:pPr>
      <w:r>
        <w:t xml:space="preserve">- </w:t>
      </w:r>
      <w:r w:rsidR="0076668B">
        <w:t xml:space="preserve">Ngày 23/11/2022, Bộ Tài chính tổ chức họp với 32 doanh nghiệp phát hành và 7 công ty chứng khoán. Trong đó các doanh nghiệp nhận định thị trường bị ảnh hưởng bởi niềm tin và thanh khoản. </w:t>
      </w:r>
      <w:r w:rsidR="0076668B" w:rsidRPr="0059242A">
        <w:t xml:space="preserve">Đối với Nghị định số 65, </w:t>
      </w:r>
      <w:r>
        <w:t xml:space="preserve">một số doanh nghiệp kiến nghị </w:t>
      </w:r>
      <w:r w:rsidR="0076668B" w:rsidRPr="0059242A">
        <w:t>trước mắt có thể xem xét điều chỉnh lộ trình áp dụng quy định về xác định nhà đ</w:t>
      </w:r>
      <w:r>
        <w:t>ầu tư chứng khoán chuyên nghiệp và</w:t>
      </w:r>
      <w:r w:rsidR="0076668B" w:rsidRPr="0059242A">
        <w:t xml:space="preserve"> hướng dẫn việc doanh nghiệp gia hạn, hoán đổi trái phiếu.</w:t>
      </w:r>
    </w:p>
    <w:p w:rsidR="0076668B" w:rsidRPr="00077AC4" w:rsidRDefault="00077AC4" w:rsidP="00095C0A">
      <w:pPr>
        <w:widowControl w:val="0"/>
        <w:spacing w:before="120" w:after="120" w:line="320" w:lineRule="exact"/>
        <w:ind w:firstLine="709"/>
        <w:jc w:val="both"/>
        <w:rPr>
          <w:color w:val="000000"/>
          <w:lang w:val="nl-NL"/>
        </w:rPr>
      </w:pPr>
      <w:r>
        <w:t xml:space="preserve">- Ngày 05/12/2022, Bộ Tài chính tổ chức cuộc họp </w:t>
      </w:r>
      <w:r w:rsidR="0072178C">
        <w:t xml:space="preserve">lần 1 </w:t>
      </w:r>
      <w:r>
        <w:t>của Tổ công tác của Thủ tướng Chính phủ về ổn định thị trường chứng khoán, thị trường trái phiếu doanh nghiệp. Tại buổi họp, các đơn vị tham dự đề nghị Bộ Tài chính lấy ý kiến đối với dự thảo Nghị định sửa đổi, bổ sung Nghị định số 65. Đồng thời, có ý kiến đề nghị bổ sung việc hoãn thực hiện quy định về thời gian phân phối trái phiếu tại Nghị định số 65</w:t>
      </w:r>
      <w:r w:rsidR="002723FC">
        <w:t xml:space="preserve"> (khoản 7, khoản 8 Điều 1)</w:t>
      </w:r>
      <w:r>
        <w:t>.</w:t>
      </w:r>
    </w:p>
    <w:p w:rsidR="0076668B" w:rsidRDefault="00753A65" w:rsidP="00095C0A">
      <w:pPr>
        <w:widowControl w:val="0"/>
        <w:spacing w:before="120" w:after="120" w:line="320" w:lineRule="exact"/>
        <w:ind w:firstLine="709"/>
        <w:jc w:val="both"/>
        <w:rPr>
          <w:color w:val="000000"/>
          <w:lang w:val="nl-NL"/>
        </w:rPr>
      </w:pPr>
      <w:r>
        <w:rPr>
          <w:color w:val="000000"/>
          <w:lang w:val="nl-NL"/>
        </w:rPr>
        <w:t>- Về trình tự, thủ tục xây dựng và ban hành Nghị định:</w:t>
      </w:r>
    </w:p>
    <w:p w:rsidR="00753A65" w:rsidRDefault="00753A65" w:rsidP="00095C0A">
      <w:pPr>
        <w:widowControl w:val="0"/>
        <w:spacing w:before="120" w:after="120" w:line="320" w:lineRule="exact"/>
        <w:ind w:firstLine="709"/>
        <w:jc w:val="both"/>
        <w:rPr>
          <w:color w:val="000000"/>
          <w:lang w:val="nl-NL"/>
        </w:rPr>
      </w:pPr>
      <w:r>
        <w:rPr>
          <w:color w:val="000000"/>
          <w:lang w:val="nl-NL"/>
        </w:rPr>
        <w:t>+</w:t>
      </w:r>
      <w:r w:rsidR="00006B6F">
        <w:rPr>
          <w:color w:val="000000"/>
          <w:lang w:val="nl-NL"/>
        </w:rPr>
        <w:t xml:space="preserve"> Ngày </w:t>
      </w:r>
      <w:r w:rsidR="00A016B1">
        <w:rPr>
          <w:color w:val="000000"/>
          <w:lang w:val="nl-NL"/>
        </w:rPr>
        <w:t xml:space="preserve">05/12/2022, </w:t>
      </w:r>
      <w:r w:rsidR="00006B6F">
        <w:rPr>
          <w:color w:val="000000"/>
          <w:lang w:val="nl-NL"/>
        </w:rPr>
        <w:t xml:space="preserve">Bộ Tài chính có Công văn số </w:t>
      </w:r>
      <w:r w:rsidR="008E4117">
        <w:rPr>
          <w:color w:val="000000"/>
          <w:lang w:val="nl-NL"/>
        </w:rPr>
        <w:t xml:space="preserve">12769/BTC-TCNH </w:t>
      </w:r>
      <w:r w:rsidR="00E852C5">
        <w:rPr>
          <w:color w:val="000000"/>
          <w:lang w:val="nl-NL"/>
        </w:rPr>
        <w:t>trình</w:t>
      </w:r>
      <w:r w:rsidR="00006B6F">
        <w:rPr>
          <w:color w:val="000000"/>
          <w:lang w:val="nl-NL"/>
        </w:rPr>
        <w:t xml:space="preserve"> Thủ tướng</w:t>
      </w:r>
      <w:r w:rsidR="00E852C5">
        <w:rPr>
          <w:color w:val="000000"/>
          <w:lang w:val="nl-NL"/>
        </w:rPr>
        <w:t xml:space="preserve"> Chính phủ phê duyệt chủ trương cho phép xây dựng và ban hành Nghị định sửa đổi, bổ sung Nghị định số 65 theo trình tự, thủ tục rút gọn. </w:t>
      </w:r>
    </w:p>
    <w:p w:rsidR="00006B6F" w:rsidRPr="00F51E3C" w:rsidRDefault="00753A65" w:rsidP="00095C0A">
      <w:pPr>
        <w:widowControl w:val="0"/>
        <w:spacing w:before="120" w:after="120" w:line="320" w:lineRule="exact"/>
        <w:ind w:firstLine="709"/>
        <w:jc w:val="both"/>
        <w:rPr>
          <w:color w:val="000000"/>
          <w:lang w:val="nl-NL"/>
        </w:rPr>
      </w:pPr>
      <w:r>
        <w:rPr>
          <w:color w:val="000000"/>
          <w:lang w:val="nl-NL"/>
        </w:rPr>
        <w:t xml:space="preserve">+ </w:t>
      </w:r>
      <w:r w:rsidR="007C2ABB">
        <w:rPr>
          <w:color w:val="000000"/>
          <w:lang w:val="nl-NL"/>
        </w:rPr>
        <w:t xml:space="preserve">Ngày 05/12/2022, </w:t>
      </w:r>
      <w:r w:rsidR="008E4117">
        <w:rPr>
          <w:color w:val="000000"/>
          <w:lang w:val="nl-NL"/>
        </w:rPr>
        <w:t>Văn phòng Chính phủ đã có Công văn số 8172/VPCP-KTTH thông báo ý kiến chỉ đạo của Phó Thủ tướng Lê Minh Khái</w:t>
      </w:r>
      <w:r>
        <w:t>:</w:t>
      </w:r>
      <w:r w:rsidRPr="0001748D">
        <w:t xml:space="preserve"> </w:t>
      </w:r>
      <w:r>
        <w:t>“</w:t>
      </w:r>
      <w:r w:rsidRPr="004B2A3F">
        <w:rPr>
          <w:i/>
        </w:rPr>
        <w:t>Đồng ý với đề nghị của Bộ Tài chính</w:t>
      </w:r>
      <w:r>
        <w:rPr>
          <w:i/>
        </w:rPr>
        <w:t xml:space="preserve"> tại văn bản số 12769/BTC-TCNH.</w:t>
      </w:r>
      <w:r w:rsidRPr="004B2A3F">
        <w:rPr>
          <w:i/>
        </w:rPr>
        <w:t xml:space="preserve"> Bộ Tài chính </w:t>
      </w:r>
      <w:r>
        <w:rPr>
          <w:i/>
        </w:rPr>
        <w:t xml:space="preserve">chủ trì, </w:t>
      </w:r>
      <w:r w:rsidRPr="004B2A3F">
        <w:rPr>
          <w:i/>
        </w:rPr>
        <w:t xml:space="preserve">phối hợp với các Bộ, </w:t>
      </w:r>
      <w:r>
        <w:rPr>
          <w:i/>
        </w:rPr>
        <w:t>cơ quan liên quan thực hiện</w:t>
      </w:r>
      <w:r w:rsidRPr="004B2A3F">
        <w:rPr>
          <w:i/>
        </w:rPr>
        <w:t xml:space="preserve"> đánh giá tác động củ</w:t>
      </w:r>
      <w:r>
        <w:rPr>
          <w:i/>
        </w:rPr>
        <w:t>a chính sách;</w:t>
      </w:r>
      <w:r w:rsidRPr="004B2A3F">
        <w:rPr>
          <w:i/>
        </w:rPr>
        <w:t xml:space="preserve"> lấy ý kiến đầy đủ đối tượng chịu sự tác động</w:t>
      </w:r>
      <w:r>
        <w:rPr>
          <w:i/>
        </w:rPr>
        <w:t>; bảo đảm đúng quy định pháp luật để phát triển thị trường trái phiếu hoạt động an toàn, lành mạnh và minh bạch;</w:t>
      </w:r>
      <w:r w:rsidRPr="004B2A3F">
        <w:rPr>
          <w:i/>
        </w:rPr>
        <w:t xml:space="preserve"> trình Chính phủ trước ngày 20/12/2022</w:t>
      </w:r>
      <w:r w:rsidRPr="00ED3A61">
        <w:t>”</w:t>
      </w:r>
      <w:r w:rsidRPr="0001748D">
        <w:t>.</w:t>
      </w:r>
      <w:r w:rsidR="00006B6F">
        <w:rPr>
          <w:color w:val="000000"/>
          <w:lang w:val="nl-NL"/>
        </w:rPr>
        <w:t xml:space="preserve"> </w:t>
      </w:r>
    </w:p>
    <w:p w:rsidR="008C264A" w:rsidRDefault="008C264A" w:rsidP="00095C0A">
      <w:pPr>
        <w:widowControl w:val="0"/>
        <w:spacing w:before="120" w:after="120" w:line="320" w:lineRule="exact"/>
        <w:ind w:firstLine="697"/>
        <w:jc w:val="both"/>
        <w:rPr>
          <w:lang w:val="nl-NL"/>
        </w:rPr>
      </w:pPr>
      <w:r w:rsidRPr="00F51E3C">
        <w:rPr>
          <w:bCs/>
          <w:lang w:val="nl-NL"/>
        </w:rPr>
        <w:t xml:space="preserve">- </w:t>
      </w:r>
      <w:r w:rsidR="00753A65">
        <w:rPr>
          <w:bCs/>
          <w:lang w:val="nl-NL"/>
        </w:rPr>
        <w:t xml:space="preserve">Thực hiện chỉ đạo của Chính phủ, Thủ tướng Chính phủ, ngày </w:t>
      </w:r>
      <w:r w:rsidR="008233B9">
        <w:rPr>
          <w:bCs/>
          <w:lang w:val="nl-NL"/>
        </w:rPr>
        <w:t>09/12/2022,</w:t>
      </w:r>
      <w:r w:rsidR="00753A65">
        <w:rPr>
          <w:bCs/>
          <w:lang w:val="nl-NL"/>
        </w:rPr>
        <w:t xml:space="preserve"> Bộ Tài chính đã có Công văn số </w:t>
      </w:r>
      <w:r w:rsidR="008233B9">
        <w:rPr>
          <w:bCs/>
          <w:lang w:val="nl-NL"/>
        </w:rPr>
        <w:t>13088/BTC-TCNH</w:t>
      </w:r>
      <w:r w:rsidR="00753A65">
        <w:rPr>
          <w:bCs/>
          <w:lang w:val="nl-NL"/>
        </w:rPr>
        <w:t xml:space="preserve"> </w:t>
      </w:r>
      <w:r w:rsidRPr="00F51E3C">
        <w:rPr>
          <w:lang w:val="nl-NL"/>
        </w:rPr>
        <w:t xml:space="preserve">lấy ý kiến </w:t>
      </w:r>
      <w:r w:rsidR="007C2ABB">
        <w:t>Bộ Tư pháp, NHNN, Bộ KHĐT,</w:t>
      </w:r>
      <w:r w:rsidR="008233B9">
        <w:t xml:space="preserve"> Bộ Xây dựng,</w:t>
      </w:r>
      <w:r w:rsidR="007C2ABB">
        <w:t xml:space="preserve"> Bộ Công an, Thanh tra Chính phủ, Kiểm toán Nhà nước, Ủy ban Giám sát tài chính quốc gia, Hiệp hội Thị trường trái phiếu doanh nghiệp Việt Nam, Liên đoàn Thương mại và Công nghiệp Việt Nam (VCCI)</w:t>
      </w:r>
      <w:r w:rsidR="00753A65">
        <w:t xml:space="preserve"> và </w:t>
      </w:r>
      <w:r w:rsidR="009365C4">
        <w:t xml:space="preserve">06 </w:t>
      </w:r>
      <w:r w:rsidR="00753A65">
        <w:t>chuyên gia, nhà khoa học</w:t>
      </w:r>
      <w:r w:rsidR="008233B9">
        <w:t xml:space="preserve">, </w:t>
      </w:r>
      <w:r w:rsidR="009365C4">
        <w:t xml:space="preserve">03 </w:t>
      </w:r>
      <w:r w:rsidR="008233B9">
        <w:t xml:space="preserve">tổ chức </w:t>
      </w:r>
      <w:r w:rsidR="009365C4">
        <w:t xml:space="preserve">tài chính </w:t>
      </w:r>
      <w:r w:rsidR="008233B9">
        <w:t>quốc tế (</w:t>
      </w:r>
      <w:r w:rsidR="009365C4">
        <w:t xml:space="preserve">WB, </w:t>
      </w:r>
      <w:r w:rsidR="008233B9">
        <w:t>IMF</w:t>
      </w:r>
      <w:r w:rsidR="009365C4">
        <w:t>, ADB</w:t>
      </w:r>
      <w:r w:rsidR="008233B9">
        <w:t>)</w:t>
      </w:r>
      <w:r w:rsidRPr="00F51E3C">
        <w:rPr>
          <w:lang w:val="nl-NL"/>
        </w:rPr>
        <w:t xml:space="preserve">. </w:t>
      </w:r>
    </w:p>
    <w:p w:rsidR="0072178C" w:rsidRPr="00F51E3C" w:rsidRDefault="0072178C" w:rsidP="00095C0A">
      <w:pPr>
        <w:widowControl w:val="0"/>
        <w:spacing w:before="120" w:after="120" w:line="320" w:lineRule="exact"/>
        <w:ind w:firstLine="697"/>
        <w:jc w:val="both"/>
        <w:rPr>
          <w:color w:val="000000"/>
          <w:lang w:val="nl-NL"/>
        </w:rPr>
      </w:pPr>
      <w:r>
        <w:rPr>
          <w:lang w:val="nl-NL"/>
        </w:rPr>
        <w:t xml:space="preserve">- Ngày 29/12/2022, Bộ Tài chính </w:t>
      </w:r>
      <w:r>
        <w:t>tổ chức cuộc họp lần 2 của Tổ công tác của Thủ tướng Chính phủ về ổn định thị trường chứng khoán, thị trường trái phiếu doanh nghiệp. Tại buổi họp, các đơn vị tham dự thống nhất sự cần thiết trình Chính phủ ban hành Nghị định theo quy trình rút gọn để sớm có hiệu lực thi hành; đối với quy định về xác định nhà đầu tư chứng khoán chuyên nghiệp, trình Chính phủ theo 02 phương án để Thành viên Chính phủ biểu quyết, có ý kiến.</w:t>
      </w:r>
    </w:p>
    <w:p w:rsidR="008C264A" w:rsidRPr="00F51E3C" w:rsidRDefault="008C264A" w:rsidP="00095C0A">
      <w:pPr>
        <w:widowControl w:val="0"/>
        <w:spacing w:before="120" w:after="120" w:line="320" w:lineRule="exact"/>
        <w:ind w:firstLine="697"/>
        <w:jc w:val="both"/>
        <w:rPr>
          <w:lang w:val="pt-BR"/>
        </w:rPr>
      </w:pPr>
      <w:r w:rsidRPr="00F51E3C">
        <w:rPr>
          <w:lang w:val="nl-NL"/>
        </w:rPr>
        <w:t xml:space="preserve">- </w:t>
      </w:r>
      <w:r w:rsidR="009365C4">
        <w:rPr>
          <w:lang w:val="nl-NL"/>
        </w:rPr>
        <w:t>N</w:t>
      </w:r>
      <w:r w:rsidR="00065089" w:rsidRPr="00F51E3C">
        <w:rPr>
          <w:lang w:val="nl-NL"/>
        </w:rPr>
        <w:t>gày</w:t>
      </w:r>
      <w:r w:rsidR="00CE4C2B" w:rsidRPr="00F51E3C">
        <w:rPr>
          <w:lang w:val="nl-NL"/>
        </w:rPr>
        <w:t xml:space="preserve"> </w:t>
      </w:r>
      <w:r w:rsidR="00EB210C" w:rsidRPr="00F51E3C">
        <w:rPr>
          <w:lang w:val="nl-NL"/>
        </w:rPr>
        <w:t>...</w:t>
      </w:r>
      <w:r w:rsidR="00CE4C2B" w:rsidRPr="00F51E3C">
        <w:rPr>
          <w:lang w:val="nl-NL"/>
        </w:rPr>
        <w:t xml:space="preserve">, </w:t>
      </w:r>
      <w:r w:rsidR="00065089" w:rsidRPr="00F51E3C">
        <w:rPr>
          <w:lang w:val="nl-NL"/>
        </w:rPr>
        <w:t>Bộ Tài chính đã có Công văn số</w:t>
      </w:r>
      <w:r w:rsidR="00CE4C2B" w:rsidRPr="00F51E3C">
        <w:rPr>
          <w:lang w:val="nl-NL"/>
        </w:rPr>
        <w:t xml:space="preserve"> </w:t>
      </w:r>
      <w:r w:rsidR="00EB210C" w:rsidRPr="00F51E3C">
        <w:rPr>
          <w:lang w:val="nl-NL"/>
        </w:rPr>
        <w:t>...</w:t>
      </w:r>
      <w:r w:rsidR="00065089" w:rsidRPr="00F51E3C">
        <w:rPr>
          <w:lang w:val="nl-NL"/>
        </w:rPr>
        <w:t xml:space="preserve"> gửi lấy ý kiến thẩm định của Bộ Tư pháp. </w:t>
      </w:r>
      <w:r w:rsidRPr="00F51E3C">
        <w:rPr>
          <w:lang w:val="nl-NL"/>
        </w:rPr>
        <w:t>Ngày</w:t>
      </w:r>
      <w:r w:rsidR="00CE4C2B" w:rsidRPr="00F51E3C">
        <w:rPr>
          <w:lang w:val="nl-NL"/>
        </w:rPr>
        <w:t xml:space="preserve"> </w:t>
      </w:r>
      <w:r w:rsidR="00EB210C" w:rsidRPr="00F51E3C">
        <w:rPr>
          <w:lang w:val="nl-NL"/>
        </w:rPr>
        <w:t>...</w:t>
      </w:r>
      <w:r w:rsidRPr="00F51E3C">
        <w:rPr>
          <w:lang w:val="nl-NL"/>
        </w:rPr>
        <w:t xml:space="preserve">, Bộ Tư pháp có ý kiến thẩm định tại Báo cáo số </w:t>
      </w:r>
      <w:r w:rsidR="00EB210C" w:rsidRPr="00F51E3C">
        <w:rPr>
          <w:lang w:val="nl-NL"/>
        </w:rPr>
        <w:t>...</w:t>
      </w:r>
      <w:r w:rsidRPr="00F51E3C">
        <w:rPr>
          <w:lang w:val="nl-NL"/>
        </w:rPr>
        <w:t xml:space="preserve"> đối với dự thảo Nghị định.</w:t>
      </w:r>
    </w:p>
    <w:p w:rsidR="00753A65" w:rsidRDefault="008C264A" w:rsidP="00095C0A">
      <w:pPr>
        <w:widowControl w:val="0"/>
        <w:spacing w:before="120" w:after="120" w:line="320" w:lineRule="exact"/>
        <w:ind w:firstLine="697"/>
        <w:jc w:val="both"/>
        <w:rPr>
          <w:lang w:val="pt-BR"/>
        </w:rPr>
      </w:pPr>
      <w:r w:rsidRPr="00F51E3C">
        <w:rPr>
          <w:b/>
          <w:lang w:val="pt-BR"/>
        </w:rPr>
        <w:t xml:space="preserve">2. </w:t>
      </w:r>
      <w:bookmarkEnd w:id="1"/>
      <w:r w:rsidR="00753A65">
        <w:rPr>
          <w:b/>
          <w:lang w:val="pt-BR"/>
        </w:rPr>
        <w:t xml:space="preserve">Nguyên tắc ban hành Nghị định: </w:t>
      </w:r>
      <w:r w:rsidR="00753A65">
        <w:rPr>
          <w:lang w:val="pt-BR"/>
        </w:rPr>
        <w:t xml:space="preserve">Nghị định </w:t>
      </w:r>
      <w:r w:rsidR="00FF5808" w:rsidRPr="00FF5808">
        <w:rPr>
          <w:lang w:val="pt-BR"/>
        </w:rPr>
        <w:t xml:space="preserve">sửa đổi Nghị định số 153/2020/NĐ-CP và </w:t>
      </w:r>
      <w:r w:rsidR="00753A65">
        <w:rPr>
          <w:lang w:val="pt-BR"/>
        </w:rPr>
        <w:t xml:space="preserve">sửa đổi Nghị định số 65 được ban hành </w:t>
      </w:r>
      <w:r w:rsidR="00E64A46">
        <w:rPr>
          <w:lang w:val="pt-BR"/>
        </w:rPr>
        <w:t>để</w:t>
      </w:r>
      <w:r w:rsidR="00226B7D">
        <w:rPr>
          <w:lang w:val="pt-BR"/>
        </w:rPr>
        <w:t xml:space="preserve"> góp phần giải quyết</w:t>
      </w:r>
      <w:r w:rsidR="00802F1B">
        <w:rPr>
          <w:lang w:val="pt-BR"/>
        </w:rPr>
        <w:t xml:space="preserve"> ngay</w:t>
      </w:r>
      <w:r w:rsidR="00226B7D">
        <w:rPr>
          <w:lang w:val="pt-BR"/>
        </w:rPr>
        <w:t xml:space="preserve"> vấn đề khó khăn về thanh khoản của nền kinh tế và doanh nghiệp</w:t>
      </w:r>
      <w:r w:rsidR="00802F1B">
        <w:rPr>
          <w:lang w:val="pt-BR"/>
        </w:rPr>
        <w:t xml:space="preserve"> mới phát sinh</w:t>
      </w:r>
      <w:r w:rsidR="00226B7D">
        <w:rPr>
          <w:lang w:val="pt-BR"/>
        </w:rPr>
        <w:t>, để</w:t>
      </w:r>
      <w:r w:rsidR="00E64A46">
        <w:rPr>
          <w:lang w:val="pt-BR"/>
        </w:rPr>
        <w:t xml:space="preserve"> thị trường có thời gian điều chỉnh lại và doanh nghiệp có thể cân đối nguồn tiền</w:t>
      </w:r>
      <w:r w:rsidR="00802F1B">
        <w:rPr>
          <w:lang w:val="pt-BR"/>
        </w:rPr>
        <w:t xml:space="preserve"> phục vụ sản xuất kinh doanh</w:t>
      </w:r>
      <w:r w:rsidR="00E64A46">
        <w:rPr>
          <w:lang w:val="pt-BR"/>
        </w:rPr>
        <w:t>. Về định hướng trung và dài hạn, để phát triển thị trường TPDN minh bạch, bền vững cần có lộ trình để tiếp tục triển khai quy định tại Nghị định số 65 và rà soát, sửa đổi tận gốc quy định về nhà đầu tư chứng khoán chuyên nghiệp và điều kiện phát hành TPDN riêng lẻ tại Luật Doanh nghiệp và Luật Chứng khoán.</w:t>
      </w:r>
    </w:p>
    <w:p w:rsidR="004B147D" w:rsidRPr="00753A65" w:rsidRDefault="004B147D" w:rsidP="00095C0A">
      <w:pPr>
        <w:widowControl w:val="0"/>
        <w:spacing w:before="120" w:after="120" w:line="320" w:lineRule="exact"/>
        <w:ind w:firstLine="697"/>
        <w:jc w:val="both"/>
        <w:rPr>
          <w:lang w:val="pt-BR"/>
        </w:rPr>
      </w:pPr>
      <w:r>
        <w:rPr>
          <w:lang w:val="pt-BR"/>
        </w:rPr>
        <w:t>Do đó,</w:t>
      </w:r>
      <w:r w:rsidR="00802F1B">
        <w:rPr>
          <w:lang w:val="pt-BR"/>
        </w:rPr>
        <w:t xml:space="preserve"> với tính chất để tháo gỡ những khó khăn và vấn đề cấp bách,</w:t>
      </w:r>
      <w:r>
        <w:rPr>
          <w:lang w:val="pt-BR"/>
        </w:rPr>
        <w:t xml:space="preserve"> đối với ý kiến tham gia của các Bộ, ngành về việc sửa đổi quy định ngoài phạm vi của Nghị định số 65</w:t>
      </w:r>
      <w:r>
        <w:rPr>
          <w:rStyle w:val="FootnoteReference"/>
          <w:lang w:val="pt-BR"/>
        </w:rPr>
        <w:footnoteReference w:id="4"/>
      </w:r>
      <w:r w:rsidR="00802F1B">
        <w:rPr>
          <w:lang w:val="pt-BR"/>
        </w:rPr>
        <w:t xml:space="preserve"> và với các ý kiến tham gia về các nội dung cần phải có thời gian nghiên cứu nghiên cứu, đánh giá để điều chỉnh chính sách trong trung, </w:t>
      </w:r>
      <w:r w:rsidR="009365C4">
        <w:rPr>
          <w:lang w:val="pt-BR"/>
        </w:rPr>
        <w:t>d</w:t>
      </w:r>
      <w:r w:rsidR="00802F1B">
        <w:rPr>
          <w:lang w:val="pt-BR"/>
        </w:rPr>
        <w:t>ài hạn</w:t>
      </w:r>
      <w:r>
        <w:rPr>
          <w:lang w:val="pt-BR"/>
        </w:rPr>
        <w:t>, Bộ Tài chính trình Chính phủ sẽ có rà soát tổng thể khi sửa đổi Luật Chứng khoán và Luật Doanh nghiệp.</w:t>
      </w:r>
    </w:p>
    <w:p w:rsidR="009D2B72" w:rsidRPr="00F51E3C" w:rsidRDefault="00E64A46" w:rsidP="00095C0A">
      <w:pPr>
        <w:widowControl w:val="0"/>
        <w:spacing w:before="120" w:after="120" w:line="320" w:lineRule="exact"/>
        <w:ind w:firstLine="697"/>
        <w:jc w:val="both"/>
        <w:rPr>
          <w:b/>
          <w:lang w:val="nl-NL"/>
        </w:rPr>
      </w:pPr>
      <w:r>
        <w:rPr>
          <w:b/>
          <w:lang w:val="nl-NL"/>
        </w:rPr>
        <w:t xml:space="preserve">3. </w:t>
      </w:r>
      <w:r w:rsidR="00D208A0" w:rsidRPr="00F51E3C">
        <w:rPr>
          <w:b/>
          <w:lang w:val="nl-NL"/>
        </w:rPr>
        <w:t>N</w:t>
      </w:r>
      <w:r w:rsidR="009D2B72" w:rsidRPr="00F51E3C">
        <w:rPr>
          <w:b/>
          <w:lang w:val="nl-NL"/>
        </w:rPr>
        <w:t>ội dung cơ bản</w:t>
      </w:r>
      <w:r w:rsidR="00D208A0" w:rsidRPr="00F51E3C">
        <w:rPr>
          <w:b/>
          <w:lang w:val="nl-NL"/>
        </w:rPr>
        <w:t xml:space="preserve"> của d</w:t>
      </w:r>
      <w:r w:rsidR="00CC024E" w:rsidRPr="00F51E3C">
        <w:rPr>
          <w:b/>
          <w:lang w:val="nl-NL"/>
        </w:rPr>
        <w:t>ự thảo Nghị định</w:t>
      </w:r>
      <w:r w:rsidR="009D2B72" w:rsidRPr="00F51E3C">
        <w:rPr>
          <w:b/>
          <w:lang w:val="nl-NL"/>
        </w:rPr>
        <w:t xml:space="preserve"> </w:t>
      </w:r>
    </w:p>
    <w:p w:rsidR="00700F27" w:rsidRPr="00F51E3C" w:rsidRDefault="00E64A46" w:rsidP="00095C0A">
      <w:pPr>
        <w:widowControl w:val="0"/>
        <w:spacing w:before="120" w:after="120" w:line="320" w:lineRule="exact"/>
        <w:ind w:firstLine="697"/>
        <w:jc w:val="both"/>
        <w:rPr>
          <w:lang w:val="nl-NL"/>
        </w:rPr>
      </w:pPr>
      <w:r>
        <w:rPr>
          <w:b/>
          <w:i/>
          <w:lang w:val="nl-NL"/>
        </w:rPr>
        <w:t>3</w:t>
      </w:r>
      <w:r w:rsidR="00065089" w:rsidRPr="00F51E3C">
        <w:rPr>
          <w:b/>
          <w:i/>
          <w:lang w:val="nl-NL"/>
        </w:rPr>
        <w:t>.</w:t>
      </w:r>
      <w:r w:rsidR="007F6DB8" w:rsidRPr="00F51E3C">
        <w:rPr>
          <w:b/>
          <w:i/>
          <w:lang w:val="nl-NL"/>
        </w:rPr>
        <w:t xml:space="preserve">1. </w:t>
      </w:r>
      <w:r w:rsidR="00E7582D" w:rsidRPr="00F51E3C">
        <w:rPr>
          <w:b/>
          <w:i/>
          <w:lang w:val="nl-NL"/>
        </w:rPr>
        <w:t>Về kết cấu:</w:t>
      </w:r>
      <w:r w:rsidR="00E7582D" w:rsidRPr="00F51E3C">
        <w:rPr>
          <w:b/>
          <w:lang w:val="nl-NL"/>
        </w:rPr>
        <w:t xml:space="preserve"> </w:t>
      </w:r>
      <w:r w:rsidR="007722E8" w:rsidRPr="00F51E3C">
        <w:rPr>
          <w:lang w:val="nl-NL"/>
        </w:rPr>
        <w:t xml:space="preserve">Dự thảo Nghị định sửa đổi, bổ sung </w:t>
      </w:r>
      <w:r w:rsidR="00FF5808">
        <w:t xml:space="preserve">Nghị định số 153/2020/NĐ-CP và </w:t>
      </w:r>
      <w:r w:rsidR="007722E8" w:rsidRPr="00F51E3C">
        <w:rPr>
          <w:lang w:val="nl-NL"/>
        </w:rPr>
        <w:t xml:space="preserve">Nghị định </w:t>
      </w:r>
      <w:r w:rsidR="00700F27" w:rsidRPr="00F51E3C">
        <w:rPr>
          <w:lang w:val="nl-NL"/>
        </w:rPr>
        <w:t xml:space="preserve">số </w:t>
      </w:r>
      <w:r w:rsidR="00E852C5">
        <w:rPr>
          <w:lang w:val="nl-NL"/>
        </w:rPr>
        <w:t>65</w:t>
      </w:r>
      <w:r w:rsidR="00700F27" w:rsidRPr="00F51E3C">
        <w:rPr>
          <w:lang w:val="nl-NL"/>
        </w:rPr>
        <w:t xml:space="preserve"> gồm </w:t>
      </w:r>
      <w:r w:rsidR="008233B9">
        <w:rPr>
          <w:lang w:val="nl-NL"/>
        </w:rPr>
        <w:t>3</w:t>
      </w:r>
      <w:r w:rsidR="00700F27" w:rsidRPr="00F51E3C">
        <w:rPr>
          <w:lang w:val="nl-NL"/>
        </w:rPr>
        <w:t xml:space="preserve"> Điều, trong đó:</w:t>
      </w:r>
    </w:p>
    <w:p w:rsidR="008D0D49" w:rsidRDefault="00700F27" w:rsidP="006E1FAC">
      <w:pPr>
        <w:widowControl w:val="0"/>
        <w:spacing w:before="120" w:after="120" w:line="320" w:lineRule="exact"/>
        <w:ind w:firstLine="697"/>
        <w:jc w:val="both"/>
        <w:rPr>
          <w:lang w:val="nl-NL"/>
        </w:rPr>
      </w:pPr>
      <w:r w:rsidRPr="00F51E3C">
        <w:rPr>
          <w:lang w:val="nl-NL"/>
        </w:rPr>
        <w:t xml:space="preserve">- Điều 1 </w:t>
      </w:r>
      <w:r w:rsidR="008D0D49">
        <w:rPr>
          <w:lang w:val="nl-NL"/>
        </w:rPr>
        <w:t>quy định về ngưng hiệu lực thi hành đối với một số quy định</w:t>
      </w:r>
      <w:r w:rsidR="008D0D49" w:rsidRPr="00F51E3C">
        <w:rPr>
          <w:lang w:val="nl-NL"/>
        </w:rPr>
        <w:t xml:space="preserve"> tại Nghị định số </w:t>
      </w:r>
      <w:r w:rsidR="008D0D49">
        <w:rPr>
          <w:lang w:val="nl-NL"/>
        </w:rPr>
        <w:t>65</w:t>
      </w:r>
      <w:r w:rsidR="00FF5808">
        <w:rPr>
          <w:lang w:val="nl-NL"/>
        </w:rPr>
        <w:t>.</w:t>
      </w:r>
    </w:p>
    <w:p w:rsidR="00092DEE" w:rsidRDefault="008D0D49" w:rsidP="00095C0A">
      <w:pPr>
        <w:widowControl w:val="0"/>
        <w:spacing w:before="120" w:after="120" w:line="320" w:lineRule="exact"/>
        <w:ind w:firstLine="697"/>
        <w:jc w:val="both"/>
        <w:rPr>
          <w:lang w:val="nl-NL"/>
        </w:rPr>
      </w:pPr>
      <w:r>
        <w:rPr>
          <w:lang w:val="nl-NL"/>
        </w:rPr>
        <w:t xml:space="preserve">- Điều </w:t>
      </w:r>
      <w:r w:rsidR="006E1FAC">
        <w:rPr>
          <w:lang w:val="nl-NL"/>
        </w:rPr>
        <w:t xml:space="preserve">2 </w:t>
      </w:r>
      <w:r w:rsidR="00092DEE">
        <w:rPr>
          <w:lang w:val="nl-NL"/>
        </w:rPr>
        <w:t xml:space="preserve">quy định sửa đổi, bổ sung </w:t>
      </w:r>
      <w:r w:rsidR="00D97390">
        <w:rPr>
          <w:lang w:val="nl-NL"/>
        </w:rPr>
        <w:t xml:space="preserve">một số nội dung của </w:t>
      </w:r>
      <w:r w:rsidR="006E1FAC">
        <w:t xml:space="preserve">Nghị định số 153/2020/NĐ-CP và </w:t>
      </w:r>
      <w:r w:rsidRPr="008E3E53">
        <w:rPr>
          <w:bCs/>
          <w:lang w:val="vi-VN"/>
        </w:rPr>
        <w:t xml:space="preserve">Nghị định </w:t>
      </w:r>
      <w:r w:rsidRPr="005D466B">
        <w:rPr>
          <w:bCs/>
          <w:lang w:val="vi-VN"/>
        </w:rPr>
        <w:t xml:space="preserve">số </w:t>
      </w:r>
      <w:r>
        <w:rPr>
          <w:bCs/>
        </w:rPr>
        <w:t>65/2022</w:t>
      </w:r>
      <w:r w:rsidRPr="005D466B">
        <w:rPr>
          <w:bCs/>
          <w:lang w:val="vi-VN"/>
        </w:rPr>
        <w:t>/NĐ-CP</w:t>
      </w:r>
      <w:r w:rsidR="00092DEE">
        <w:rPr>
          <w:lang w:val="nl-NL"/>
        </w:rPr>
        <w:t>.</w:t>
      </w:r>
    </w:p>
    <w:p w:rsidR="00700F27" w:rsidRPr="00F51E3C" w:rsidRDefault="00092DEE" w:rsidP="00095C0A">
      <w:pPr>
        <w:widowControl w:val="0"/>
        <w:spacing w:before="120" w:after="120" w:line="320" w:lineRule="exact"/>
        <w:ind w:firstLine="697"/>
        <w:jc w:val="both"/>
        <w:rPr>
          <w:bCs/>
          <w:lang w:val="nl-NL"/>
        </w:rPr>
      </w:pPr>
      <w:r>
        <w:rPr>
          <w:lang w:val="nl-NL"/>
        </w:rPr>
        <w:t xml:space="preserve">- Điều </w:t>
      </w:r>
      <w:r w:rsidR="006E1FAC">
        <w:rPr>
          <w:lang w:val="nl-NL"/>
        </w:rPr>
        <w:t>3</w:t>
      </w:r>
      <w:r w:rsidR="008D0D49">
        <w:rPr>
          <w:lang w:val="nl-NL"/>
        </w:rPr>
        <w:t xml:space="preserve"> </w:t>
      </w:r>
      <w:r w:rsidR="00E852C5">
        <w:rPr>
          <w:lang w:val="nl-NL"/>
        </w:rPr>
        <w:t>quy định về hiệu lực thi hành</w:t>
      </w:r>
      <w:r w:rsidR="00700F27" w:rsidRPr="00F51E3C">
        <w:rPr>
          <w:lang w:val="nl-NL"/>
        </w:rPr>
        <w:t xml:space="preserve"> và trách nhiệm thi hành Nghị định.</w:t>
      </w:r>
    </w:p>
    <w:p w:rsidR="00F307F3" w:rsidRPr="00F51E3C" w:rsidRDefault="008911BC" w:rsidP="00095C0A">
      <w:pPr>
        <w:widowControl w:val="0"/>
        <w:spacing w:before="120" w:after="120" w:line="320" w:lineRule="exact"/>
        <w:ind w:firstLine="697"/>
        <w:jc w:val="both"/>
        <w:outlineLvl w:val="0"/>
        <w:rPr>
          <w:b/>
          <w:i/>
          <w:lang w:val="pt-BR"/>
        </w:rPr>
      </w:pPr>
      <w:r>
        <w:rPr>
          <w:b/>
          <w:i/>
          <w:lang w:val="pt-BR"/>
        </w:rPr>
        <w:t>3</w:t>
      </w:r>
      <w:r w:rsidR="00F307F3" w:rsidRPr="00F51E3C">
        <w:rPr>
          <w:b/>
          <w:i/>
          <w:lang w:val="pt-BR"/>
        </w:rPr>
        <w:t>.</w:t>
      </w:r>
      <w:r w:rsidR="00065089" w:rsidRPr="00F51E3C">
        <w:rPr>
          <w:b/>
          <w:i/>
          <w:lang w:val="pt-BR"/>
        </w:rPr>
        <w:t>2.</w:t>
      </w:r>
      <w:r w:rsidR="00F307F3" w:rsidRPr="00F51E3C">
        <w:rPr>
          <w:b/>
          <w:i/>
          <w:lang w:val="pt-BR"/>
        </w:rPr>
        <w:t xml:space="preserve"> </w:t>
      </w:r>
      <w:r w:rsidR="00E852C5">
        <w:rPr>
          <w:b/>
          <w:i/>
          <w:lang w:val="pt-BR"/>
        </w:rPr>
        <w:t>N</w:t>
      </w:r>
      <w:r w:rsidR="009A1D02" w:rsidRPr="00F51E3C">
        <w:rPr>
          <w:b/>
          <w:i/>
          <w:lang w:val="pt-BR"/>
        </w:rPr>
        <w:t>ội dung cơ bản</w:t>
      </w:r>
      <w:r w:rsidR="00F307F3" w:rsidRPr="00F51E3C">
        <w:rPr>
          <w:b/>
          <w:i/>
          <w:lang w:val="pt-BR"/>
        </w:rPr>
        <w:t xml:space="preserve"> </w:t>
      </w:r>
      <w:r w:rsidR="009A1D02" w:rsidRPr="00F51E3C">
        <w:rPr>
          <w:b/>
          <w:i/>
          <w:lang w:val="pt-BR"/>
        </w:rPr>
        <w:t>của</w:t>
      </w:r>
      <w:r w:rsidR="00F307F3" w:rsidRPr="00F51E3C">
        <w:rPr>
          <w:b/>
          <w:i/>
          <w:lang w:val="pt-BR"/>
        </w:rPr>
        <w:t xml:space="preserve"> Nghị định</w:t>
      </w:r>
    </w:p>
    <w:p w:rsidR="00D2528D" w:rsidRPr="00F51E3C" w:rsidRDefault="008911BC" w:rsidP="00095C0A">
      <w:pPr>
        <w:widowControl w:val="0"/>
        <w:spacing w:before="120" w:after="120" w:line="320" w:lineRule="exact"/>
        <w:ind w:firstLine="697"/>
        <w:jc w:val="both"/>
        <w:outlineLvl w:val="0"/>
        <w:rPr>
          <w:b/>
          <w:i/>
          <w:lang w:val="pt-BR"/>
        </w:rPr>
      </w:pPr>
      <w:r>
        <w:rPr>
          <w:b/>
          <w:i/>
          <w:lang w:val="pt-BR"/>
        </w:rPr>
        <w:t>3</w:t>
      </w:r>
      <w:r w:rsidR="006A3AC0" w:rsidRPr="00F51E3C">
        <w:rPr>
          <w:b/>
          <w:i/>
          <w:lang w:val="pt-BR"/>
        </w:rPr>
        <w:t xml:space="preserve">.2.1. </w:t>
      </w:r>
      <w:r w:rsidR="00300B7C">
        <w:rPr>
          <w:b/>
          <w:i/>
          <w:lang w:val="pt-BR"/>
        </w:rPr>
        <w:t>N</w:t>
      </w:r>
      <w:r w:rsidR="009365C4">
        <w:rPr>
          <w:b/>
          <w:i/>
          <w:lang w:val="pt-BR"/>
        </w:rPr>
        <w:t>gưng hiệu lực thi hành</w:t>
      </w:r>
      <w:r w:rsidR="002C7D6C">
        <w:rPr>
          <w:b/>
          <w:i/>
          <w:lang w:val="pt-BR"/>
        </w:rPr>
        <w:t xml:space="preserve"> </w:t>
      </w:r>
      <w:r w:rsidR="009365C4">
        <w:rPr>
          <w:b/>
          <w:i/>
          <w:lang w:val="pt-BR"/>
        </w:rPr>
        <w:t>đến hết ngày 31/12/2023</w:t>
      </w:r>
      <w:r w:rsidR="002C7D6C">
        <w:rPr>
          <w:b/>
          <w:i/>
          <w:lang w:val="pt-BR"/>
        </w:rPr>
        <w:t xml:space="preserve"> </w:t>
      </w:r>
      <w:r w:rsidR="0041610E">
        <w:rPr>
          <w:b/>
          <w:i/>
          <w:lang w:val="pt-BR"/>
        </w:rPr>
        <w:t>đối với quy định về xác định tư cách nhà đầu tư chứng khoán chuyên nghiệp</w:t>
      </w:r>
      <w:r w:rsidR="00605E00">
        <w:rPr>
          <w:b/>
          <w:i/>
          <w:lang w:val="pt-BR"/>
        </w:rPr>
        <w:t xml:space="preserve"> </w:t>
      </w:r>
      <w:r w:rsidR="007C2ABB">
        <w:rPr>
          <w:b/>
          <w:i/>
          <w:lang w:val="pt-BR"/>
        </w:rPr>
        <w:t>tại Nghị định 65</w:t>
      </w:r>
      <w:r w:rsidR="009365C4">
        <w:rPr>
          <w:b/>
          <w:i/>
          <w:lang w:val="pt-BR"/>
        </w:rPr>
        <w:t xml:space="preserve"> (hoãn thực hiện)</w:t>
      </w:r>
    </w:p>
    <w:p w:rsidR="00F82E6F" w:rsidRDefault="00F82E6F" w:rsidP="00095C0A">
      <w:pPr>
        <w:widowControl w:val="0"/>
        <w:spacing w:before="120" w:after="120" w:line="320" w:lineRule="exact"/>
        <w:ind w:firstLine="697"/>
        <w:jc w:val="both"/>
        <w:outlineLvl w:val="0"/>
        <w:rPr>
          <w:rFonts w:eastAsia="Batang"/>
          <w:lang w:eastAsia="ko-KR"/>
        </w:rPr>
      </w:pPr>
      <w:r>
        <w:t xml:space="preserve">- </w:t>
      </w:r>
      <w:r w:rsidR="00F27FD4">
        <w:t>Nghị định 65</w:t>
      </w:r>
      <w:r>
        <w:t xml:space="preserve"> </w:t>
      </w:r>
      <w:r w:rsidR="00F27FD4">
        <w:t>(khoản 6</w:t>
      </w:r>
      <w:r w:rsidR="00605E00">
        <w:t xml:space="preserve"> </w:t>
      </w:r>
      <w:r w:rsidR="00F27FD4">
        <w:t xml:space="preserve">Điều 1) </w:t>
      </w:r>
      <w:r>
        <w:t>quy định</w:t>
      </w:r>
      <w:r w:rsidR="00605E00">
        <w:t xml:space="preserve"> </w:t>
      </w:r>
      <w:r w:rsidRPr="001914AB">
        <w:t>nhà đầu tư chứng khoán chuyên nghiệp</w:t>
      </w:r>
      <w:r>
        <w:t xml:space="preserve"> phải đảm bảo danh mục nắm giữ </w:t>
      </w:r>
      <w:r w:rsidRPr="001914AB">
        <w:t xml:space="preserve">có giá trị trung bình từ 2 tỷ đồng tối thiểu trong vòng </w:t>
      </w:r>
      <w:r>
        <w:t>180 ngày</w:t>
      </w:r>
      <w:r w:rsidRPr="001914AB">
        <w:t xml:space="preserve"> bằng tài sản</w:t>
      </w:r>
      <w:r>
        <w:t xml:space="preserve"> của nhà đầu tư</w:t>
      </w:r>
      <w:r w:rsidRPr="001914AB">
        <w:t>, không bao gồm tiền vay</w:t>
      </w:r>
      <w:r w:rsidR="00605E00">
        <w:t>.</w:t>
      </w:r>
    </w:p>
    <w:p w:rsidR="00605E00" w:rsidRDefault="00AE7559" w:rsidP="00095C0A">
      <w:pPr>
        <w:widowControl w:val="0"/>
        <w:spacing w:before="120" w:after="120" w:line="320" w:lineRule="exact"/>
        <w:ind w:firstLine="697"/>
        <w:jc w:val="both"/>
        <w:outlineLvl w:val="0"/>
        <w:rPr>
          <w:rFonts w:eastAsia="Batang"/>
          <w:lang w:eastAsia="ko-KR"/>
        </w:rPr>
      </w:pPr>
      <w:r>
        <w:rPr>
          <w:rFonts w:eastAsia="Batang"/>
          <w:lang w:eastAsia="ko-KR"/>
        </w:rPr>
        <w:t>- Trong bối cảnh</w:t>
      </w:r>
      <w:r w:rsidR="00F27FD4">
        <w:rPr>
          <w:rFonts w:eastAsia="Batang"/>
          <w:lang w:eastAsia="ko-KR"/>
        </w:rPr>
        <w:t xml:space="preserve"> </w:t>
      </w:r>
      <w:r w:rsidR="007C2ABB">
        <w:rPr>
          <w:rFonts w:eastAsia="Batang"/>
          <w:lang w:eastAsia="ko-KR"/>
        </w:rPr>
        <w:t xml:space="preserve">khó khăn về thanh khoản như hiện </w:t>
      </w:r>
      <w:r w:rsidR="008911BC">
        <w:rPr>
          <w:rFonts w:eastAsia="Batang"/>
          <w:lang w:eastAsia="ko-KR"/>
        </w:rPr>
        <w:t>nay</w:t>
      </w:r>
      <w:r w:rsidR="007C2ABB">
        <w:rPr>
          <w:rFonts w:eastAsia="Batang"/>
          <w:lang w:eastAsia="ko-KR"/>
        </w:rPr>
        <w:t xml:space="preserve">, </w:t>
      </w:r>
      <w:r>
        <w:rPr>
          <w:rFonts w:eastAsia="Batang"/>
          <w:lang w:eastAsia="ko-KR"/>
        </w:rPr>
        <w:t xml:space="preserve">việc </w:t>
      </w:r>
      <w:r w:rsidR="009365C4">
        <w:rPr>
          <w:rFonts w:eastAsia="Batang"/>
          <w:lang w:eastAsia="ko-KR"/>
        </w:rPr>
        <w:t xml:space="preserve">ngưng </w:t>
      </w:r>
      <w:r w:rsidR="007C2ABB">
        <w:rPr>
          <w:rFonts w:eastAsia="Batang"/>
          <w:lang w:eastAsia="ko-KR"/>
        </w:rPr>
        <w:t xml:space="preserve">thời gian </w:t>
      </w:r>
      <w:r>
        <w:rPr>
          <w:rFonts w:eastAsia="Batang"/>
          <w:lang w:eastAsia="ko-KR"/>
        </w:rPr>
        <w:t>thực hiện quy định về nhà đầu tư chứng khoán chuyên nghiệp</w:t>
      </w:r>
      <w:r w:rsidR="00F27FD4">
        <w:rPr>
          <w:rFonts w:eastAsia="Batang"/>
          <w:lang w:eastAsia="ko-KR"/>
        </w:rPr>
        <w:t xml:space="preserve"> </w:t>
      </w:r>
      <w:r w:rsidR="009365C4">
        <w:rPr>
          <w:rFonts w:eastAsia="Batang"/>
          <w:lang w:eastAsia="ko-KR"/>
        </w:rPr>
        <w:t>đến hết ngày 31/12/2023</w:t>
      </w:r>
      <w:r>
        <w:rPr>
          <w:rFonts w:eastAsia="Batang"/>
          <w:lang w:eastAsia="ko-KR"/>
        </w:rPr>
        <w:t xml:space="preserve"> </w:t>
      </w:r>
      <w:r w:rsidR="00897AE9">
        <w:rPr>
          <w:rFonts w:eastAsia="Batang"/>
          <w:lang w:eastAsia="ko-KR"/>
        </w:rPr>
        <w:t xml:space="preserve">theo </w:t>
      </w:r>
      <w:r w:rsidR="00226271">
        <w:rPr>
          <w:rFonts w:eastAsia="Batang"/>
          <w:lang w:eastAsia="ko-KR"/>
        </w:rPr>
        <w:t>ý kiến của một số doanh nghiệp</w:t>
      </w:r>
      <w:r w:rsidR="00897AE9">
        <w:rPr>
          <w:rFonts w:eastAsia="Batang"/>
          <w:lang w:eastAsia="ko-KR"/>
        </w:rPr>
        <w:t xml:space="preserve"> </w:t>
      </w:r>
      <w:r>
        <w:rPr>
          <w:rFonts w:eastAsia="Batang"/>
          <w:lang w:eastAsia="ko-KR"/>
        </w:rPr>
        <w:t xml:space="preserve">có thể </w:t>
      </w:r>
      <w:r w:rsidR="00F27FD4">
        <w:rPr>
          <w:rFonts w:eastAsia="Batang"/>
          <w:lang w:eastAsia="ko-KR"/>
        </w:rPr>
        <w:t xml:space="preserve">duy trì </w:t>
      </w:r>
      <w:r w:rsidR="007C2ABB">
        <w:rPr>
          <w:rFonts w:eastAsia="Batang"/>
          <w:lang w:eastAsia="ko-KR"/>
        </w:rPr>
        <w:t xml:space="preserve">được nhu </w:t>
      </w:r>
      <w:r>
        <w:rPr>
          <w:rFonts w:eastAsia="Batang"/>
          <w:lang w:eastAsia="ko-KR"/>
        </w:rPr>
        <w:t>cầu mua TPDN</w:t>
      </w:r>
      <w:r w:rsidR="00F27FD4">
        <w:rPr>
          <w:rFonts w:eastAsia="Batang"/>
          <w:lang w:eastAsia="ko-KR"/>
        </w:rPr>
        <w:t xml:space="preserve"> của các nhà đầu tư có tiềm lực tài chính nhưng chưa tích lũy được thời gian 180 ngày để đáp ứng quy định nhà đầu tư chứng khoán chuyên nghiệp của Nghị định 65</w:t>
      </w:r>
      <w:r>
        <w:rPr>
          <w:rFonts w:eastAsia="Batang"/>
          <w:lang w:eastAsia="ko-KR"/>
        </w:rPr>
        <w:t xml:space="preserve">. </w:t>
      </w:r>
      <w:r w:rsidR="009365C4">
        <w:rPr>
          <w:rFonts w:eastAsia="Batang"/>
          <w:lang w:eastAsia="ko-KR"/>
        </w:rPr>
        <w:t>Do đó,</w:t>
      </w:r>
      <w:r w:rsidR="00F45B94">
        <w:rPr>
          <w:rFonts w:eastAsia="Batang"/>
          <w:lang w:eastAsia="ko-KR"/>
        </w:rPr>
        <w:t xml:space="preserve"> Bộ Tài chính</w:t>
      </w:r>
      <w:r w:rsidR="009365C4">
        <w:rPr>
          <w:rFonts w:eastAsia="Batang"/>
          <w:lang w:eastAsia="ko-KR"/>
        </w:rPr>
        <w:t xml:space="preserve"> đã lấy ý kiến các đơn vị theo 02 phương án, cụ thể</w:t>
      </w:r>
      <w:r w:rsidR="00F45B94">
        <w:rPr>
          <w:rFonts w:eastAsia="Batang"/>
          <w:lang w:eastAsia="ko-KR"/>
        </w:rPr>
        <w:t>:</w:t>
      </w:r>
    </w:p>
    <w:p w:rsidR="00181749" w:rsidRDefault="00570535" w:rsidP="00095C0A">
      <w:pPr>
        <w:widowControl w:val="0"/>
        <w:spacing w:before="120" w:after="120" w:line="320" w:lineRule="exact"/>
        <w:ind w:firstLine="697"/>
        <w:jc w:val="both"/>
        <w:outlineLvl w:val="0"/>
        <w:rPr>
          <w:rFonts w:eastAsia="Batang"/>
          <w:lang w:eastAsia="ko-KR"/>
        </w:rPr>
      </w:pPr>
      <w:r>
        <w:rPr>
          <w:rFonts w:eastAsia="Batang"/>
          <w:b/>
          <w:u w:val="single"/>
          <w:lang w:eastAsia="ko-KR"/>
        </w:rPr>
        <w:t>+ Phương án 1:</w:t>
      </w:r>
      <w:r w:rsidRPr="00181749">
        <w:rPr>
          <w:rFonts w:eastAsia="Batang"/>
          <w:lang w:eastAsia="ko-KR"/>
        </w:rPr>
        <w:t xml:space="preserve"> </w:t>
      </w:r>
      <w:r w:rsidR="00D556FF">
        <w:rPr>
          <w:rFonts w:eastAsia="Batang"/>
          <w:lang w:eastAsia="ko-KR"/>
        </w:rPr>
        <w:t xml:space="preserve">Ngưng </w:t>
      </w:r>
      <w:r w:rsidR="00181749">
        <w:rPr>
          <w:rFonts w:eastAsia="Batang"/>
          <w:lang w:eastAsia="ko-KR"/>
        </w:rPr>
        <w:t xml:space="preserve">thực hiện </w:t>
      </w:r>
      <w:r w:rsidR="00D556FF">
        <w:rPr>
          <w:rFonts w:eastAsia="Batang"/>
          <w:lang w:eastAsia="ko-KR"/>
        </w:rPr>
        <w:t>đến hết ngày 31/12/2023</w:t>
      </w:r>
      <w:r w:rsidR="00181749">
        <w:rPr>
          <w:rFonts w:eastAsia="Batang"/>
          <w:lang w:eastAsia="ko-KR"/>
        </w:rPr>
        <w:t xml:space="preserve"> đối với quy định về xác định tư cách nhà đầu tư chứng khoán chuyên nghiệp. Từ ngày 01/1/2024 sẽ tiếp tục thực hiện các quy định này. </w:t>
      </w:r>
    </w:p>
    <w:p w:rsidR="00980A33" w:rsidRDefault="00980A33" w:rsidP="00095C0A">
      <w:pPr>
        <w:widowControl w:val="0"/>
        <w:spacing w:before="120" w:after="120" w:line="320" w:lineRule="exact"/>
        <w:ind w:firstLine="697"/>
        <w:jc w:val="both"/>
        <w:outlineLvl w:val="0"/>
        <w:rPr>
          <w:rFonts w:eastAsia="Batang"/>
          <w:lang w:eastAsia="ko-KR"/>
        </w:rPr>
      </w:pPr>
      <w:r w:rsidRPr="00314C05">
        <w:rPr>
          <w:rFonts w:eastAsia="Batang"/>
          <w:i/>
          <w:lang w:eastAsia="ko-KR"/>
        </w:rPr>
        <w:t>Ưu điểm của phương án này</w:t>
      </w:r>
      <w:r>
        <w:rPr>
          <w:rFonts w:eastAsia="Batang"/>
          <w:lang w:eastAsia="ko-KR"/>
        </w:rPr>
        <w:t xml:space="preserve"> là thị trường có thêm thời gian để điều chỉnh và có thể duy trì cầu đầu tư trái phiếu từ nhà đầu tư chứng khoán chuyên nghiệp là cá nhân, đặc biệt trong bối cảnh thanh khoản thị trường gặp khó khăn như hiện nay. </w:t>
      </w:r>
      <w:r w:rsidR="0093772C">
        <w:t>Tuy nhiên, tâm lý nhà đầu tư cá nhân rất thận trọng sau các vụ việc vi phạm vừa qua nên số lượng nhà đầu tư có nhu cầu thực tế là không nhiều.</w:t>
      </w:r>
    </w:p>
    <w:p w:rsidR="00980A33" w:rsidRDefault="00980A33" w:rsidP="00095C0A">
      <w:pPr>
        <w:widowControl w:val="0"/>
        <w:spacing w:before="120" w:after="120" w:line="320" w:lineRule="exact"/>
        <w:ind w:firstLine="697"/>
        <w:jc w:val="both"/>
        <w:outlineLvl w:val="0"/>
        <w:rPr>
          <w:rFonts w:eastAsia="Batang"/>
          <w:lang w:eastAsia="ko-KR"/>
        </w:rPr>
      </w:pPr>
      <w:r w:rsidRPr="00314C05">
        <w:rPr>
          <w:rFonts w:eastAsia="Batang"/>
          <w:i/>
          <w:lang w:eastAsia="ko-KR"/>
        </w:rPr>
        <w:t>Nhược điểm của phương án này</w:t>
      </w:r>
      <w:r>
        <w:rPr>
          <w:rFonts w:eastAsia="Batang"/>
          <w:lang w:eastAsia="ko-KR"/>
        </w:rPr>
        <w:t xml:space="preserve"> là có thể sẽ có một số lượng nhà đầu tư thiếu hiểu biết tiếp tục mua TPDN vì ham lãi suất cao mà không đánh giá đầy đủ rủi ro của trái phiếu, dẫn đến khó thanh lọc, nâng cao chất lượng nhà đầu tư chuyên nghiệp để giải quyết những rủi ro thời gian trước đây. Do đó, để thực hiện chính sách này, dự kiến cơ quan quản lý nhà nước cần tiếp tục thực hiện các giải pháp (i) thông tin, tuyên truyền, cảnh báo nhà đầu tư cần tìm hiểu kỹ quy định của pháp luật, đánh giá đầy đủ rủi ro của doanh nghiệp phát hành và trái phiếu trước khi mua, hiểu rõ bản chất của TPDN phát hành riêng lẻ và chịu trách nhiệm khi quyết định đầu tư mua trái phiếu; (ii) tăng cường quản lý giám sát thông qua Sở GDCK, TTLKCK và các tổ chức cung cấp dịch vụ liên quan đến TPDN (tổ chức tư vấn hồ sơ, phân phối, lưu ký trái phiếu) để ngăn chặn, xử lý các hành vi vi phạm quy định của pháp luật phân phối TPDN cho nhà đầu tư cá nhân. Tuy nhiên, h</w:t>
      </w:r>
      <w:r w:rsidRPr="00B7628D">
        <w:rPr>
          <w:rFonts w:eastAsia="Batang"/>
          <w:lang w:eastAsia="ko-KR"/>
        </w:rPr>
        <w:t xml:space="preserve">iệu quả của các giải pháp này </w:t>
      </w:r>
      <w:r>
        <w:rPr>
          <w:rFonts w:eastAsia="Batang"/>
          <w:lang w:eastAsia="ko-KR"/>
        </w:rPr>
        <w:t>phụ thuộc phần lớn vào ý thức của nhà đầu tư, đặc biệt là nhà đầu tư cá nhân; khi lãi suất trái phiếu được đẩy lên cao (thường vượt cao hơn lãi suất huy động tiền gửi tiết kiệm ngân hàng) thì nhà đầu tư có xu hướng ham lãi suất mà không đánh giá đến rủi ro như thời gian vừa qua.</w:t>
      </w:r>
    </w:p>
    <w:p w:rsidR="00570535" w:rsidRDefault="00181749" w:rsidP="00095C0A">
      <w:pPr>
        <w:widowControl w:val="0"/>
        <w:spacing w:before="120" w:after="120" w:line="320" w:lineRule="exact"/>
        <w:ind w:firstLine="697"/>
        <w:jc w:val="both"/>
        <w:outlineLvl w:val="0"/>
        <w:rPr>
          <w:rFonts w:eastAsia="Batang"/>
          <w:lang w:eastAsia="ko-KR"/>
        </w:rPr>
      </w:pPr>
      <w:r>
        <w:rPr>
          <w:rFonts w:eastAsia="Batang"/>
          <w:b/>
          <w:u w:val="single"/>
          <w:lang w:eastAsia="ko-KR"/>
        </w:rPr>
        <w:t>+ Phương án 2:</w:t>
      </w:r>
      <w:r w:rsidRPr="00181749">
        <w:rPr>
          <w:rFonts w:eastAsia="Batang"/>
          <w:lang w:eastAsia="ko-KR"/>
        </w:rPr>
        <w:t xml:space="preserve"> </w:t>
      </w:r>
      <w:r w:rsidR="00570535">
        <w:rPr>
          <w:rFonts w:eastAsia="Batang"/>
          <w:lang w:eastAsia="ko-KR"/>
        </w:rPr>
        <w:t>Tiếp tục thực hiện quy định tại Nghị định số 65 về việc xác định tư cách nhà đầu tư chứng khoán chuyên nghiệp.</w:t>
      </w:r>
    </w:p>
    <w:p w:rsidR="00980A33" w:rsidRDefault="00980A33" w:rsidP="00095C0A">
      <w:pPr>
        <w:widowControl w:val="0"/>
        <w:spacing w:before="120" w:after="120" w:line="320" w:lineRule="exact"/>
        <w:ind w:firstLine="697"/>
        <w:jc w:val="both"/>
        <w:outlineLvl w:val="0"/>
      </w:pPr>
      <w:r w:rsidRPr="00B7628D">
        <w:rPr>
          <w:i/>
        </w:rPr>
        <w:t>Ưu điểm của phương án này</w:t>
      </w:r>
      <w:r>
        <w:t xml:space="preserve"> là phù hợp với bản chất của phát hành TPDN riêng lẻ </w:t>
      </w:r>
      <w:r w:rsidR="0053647E">
        <w:t>d</w:t>
      </w:r>
      <w:r>
        <w:t xml:space="preserve">ành cho nhà đầu tư chứng khoán chuyên nghiệp và mục tiêu khi ban hành Nghị định số 65 là giảm thiểu rủi ro phân phối, chào mời nhà đầu tư cá nhân mua trái phiếu. Theo đó, </w:t>
      </w:r>
      <w:r w:rsidRPr="00C0307A">
        <w:t>đảm bảo tính an toàn và bền vững của cầu đầu tư TPDN, ngăn ngừa phát sinh các vụ việc lừa đảo nhà đầu tư phải xử lý hình sự gây nhiều hệ lụy.</w:t>
      </w:r>
      <w:r>
        <w:t xml:space="preserve"> Ngoài ra, theo Luật Chứng khoán thì có nhiều cách để xác định tư cách nhà đầu tư chứng khoán chuyên nghiệp</w:t>
      </w:r>
      <w:r w:rsidR="00300B7C">
        <w:t xml:space="preserve"> là cá nhân</w:t>
      </w:r>
      <w:r>
        <w:t>. N</w:t>
      </w:r>
      <w:r>
        <w:rPr>
          <w:rFonts w:eastAsia="Batang"/>
          <w:lang w:eastAsia="ko-KR"/>
        </w:rPr>
        <w:t>goài xác định bằng danh mục chứng khoán theo quy định tại Nghị định số 155</w:t>
      </w:r>
      <w:r w:rsidR="00D67BC4">
        <w:rPr>
          <w:rFonts w:eastAsia="Batang"/>
          <w:lang w:eastAsia="ko-KR"/>
        </w:rPr>
        <w:t xml:space="preserve">/2020/NĐ-CP </w:t>
      </w:r>
      <w:r>
        <w:rPr>
          <w:rFonts w:eastAsia="Batang"/>
          <w:lang w:eastAsia="ko-KR"/>
        </w:rPr>
        <w:t>được sửa đổi tại Nghị định số 65, nhà đầu tư chứng khoán chuyên nghiệp là cá nhân còn có thể chứng minh tư cách bằng (i) thu nhập chịu thuế từ 01 tỷ đồng trở lên (sắp đến thời điểm quyết toán thuế hàng năm</w:t>
      </w:r>
      <w:r w:rsidR="00D67BC4" w:rsidRPr="00D67BC4">
        <w:rPr>
          <w:rFonts w:eastAsia="Batang"/>
          <w:lang w:eastAsia="ko-KR"/>
        </w:rPr>
        <w:t xml:space="preserve"> </w:t>
      </w:r>
      <w:r w:rsidR="00D67BC4">
        <w:rPr>
          <w:rFonts w:eastAsia="Batang"/>
          <w:lang w:eastAsia="ko-KR"/>
        </w:rPr>
        <w:t>31/03</w:t>
      </w:r>
      <w:r>
        <w:rPr>
          <w:rFonts w:eastAsia="Batang"/>
          <w:lang w:eastAsia="ko-KR"/>
        </w:rPr>
        <w:t>); (ii) chứng chỉ hành nghề chứng khoán.</w:t>
      </w:r>
    </w:p>
    <w:p w:rsidR="00980A33" w:rsidRDefault="00980A33" w:rsidP="00095C0A">
      <w:pPr>
        <w:widowControl w:val="0"/>
        <w:spacing w:before="120" w:after="120" w:line="320" w:lineRule="exact"/>
        <w:ind w:firstLine="697"/>
        <w:jc w:val="both"/>
        <w:outlineLvl w:val="0"/>
        <w:rPr>
          <w:rFonts w:eastAsia="Batang"/>
          <w:lang w:eastAsia="ko-KR"/>
        </w:rPr>
      </w:pPr>
      <w:r w:rsidRPr="00B7628D">
        <w:rPr>
          <w:i/>
        </w:rPr>
        <w:t>Nhược điểm</w:t>
      </w:r>
      <w:r>
        <w:rPr>
          <w:i/>
        </w:rPr>
        <w:t xml:space="preserve"> </w:t>
      </w:r>
      <w:r>
        <w:t xml:space="preserve">là trước mắt, nhu cầu mua TPDN của nhà đầu tư chứng khoán chuyên nghiệp là cá nhân có thể giảm. </w:t>
      </w:r>
    </w:p>
    <w:p w:rsidR="00092DEE" w:rsidRDefault="00314C05" w:rsidP="00095C0A">
      <w:pPr>
        <w:widowControl w:val="0"/>
        <w:spacing w:before="120" w:after="120" w:line="320" w:lineRule="exact"/>
        <w:ind w:firstLine="697"/>
        <w:jc w:val="both"/>
        <w:outlineLvl w:val="0"/>
      </w:pPr>
      <w:r>
        <w:rPr>
          <w:rFonts w:eastAsia="Batang"/>
          <w:lang w:eastAsia="ko-KR"/>
        </w:rPr>
        <w:t xml:space="preserve">- </w:t>
      </w:r>
      <w:r w:rsidR="00D556FF">
        <w:rPr>
          <w:rFonts w:eastAsia="Batang"/>
          <w:lang w:eastAsia="ko-KR"/>
        </w:rPr>
        <w:t>Ý kiến các Bộ, ngành</w:t>
      </w:r>
      <w:r w:rsidR="00371D51">
        <w:rPr>
          <w:rFonts w:eastAsia="Batang"/>
          <w:lang w:eastAsia="ko-KR"/>
        </w:rPr>
        <w:t>, tổ chức quốc tế, chuyên gia</w:t>
      </w:r>
      <w:r w:rsidR="00D556FF">
        <w:rPr>
          <w:rFonts w:eastAsia="Batang"/>
          <w:lang w:eastAsia="ko-KR"/>
        </w:rPr>
        <w:t>: có 41% ý kiến đồng ý</w:t>
      </w:r>
      <w:r w:rsidR="00263CED">
        <w:rPr>
          <w:rFonts w:eastAsia="Batang"/>
          <w:lang w:eastAsia="ko-KR"/>
        </w:rPr>
        <w:t xml:space="preserve"> theo phương án </w:t>
      </w:r>
      <w:r w:rsidR="008D0D49">
        <w:rPr>
          <w:rFonts w:eastAsia="Batang"/>
          <w:lang w:eastAsia="ko-KR"/>
        </w:rPr>
        <w:t>1</w:t>
      </w:r>
      <w:r w:rsidR="00D556FF">
        <w:rPr>
          <w:rFonts w:eastAsia="Batang"/>
          <w:lang w:eastAsia="ko-KR"/>
        </w:rPr>
        <w:t xml:space="preserve"> (</w:t>
      </w:r>
      <w:r w:rsidR="00092DEE">
        <w:t xml:space="preserve">04/08 Bộ, ngành </w:t>
      </w:r>
      <w:r w:rsidR="00263CED">
        <w:t xml:space="preserve">là </w:t>
      </w:r>
      <w:r w:rsidR="00092DEE">
        <w:t xml:space="preserve">Bộ </w:t>
      </w:r>
      <w:r w:rsidR="00263CED">
        <w:t>CA</w:t>
      </w:r>
      <w:r w:rsidR="00092DEE">
        <w:t xml:space="preserve">, Bộ KHĐT, Bộ XD, </w:t>
      </w:r>
      <w:r w:rsidR="00263CED">
        <w:t>UBGSTCQG; 03/06 chuyên gia và 0/3 tổ chức quốc tế</w:t>
      </w:r>
      <w:r w:rsidR="00092DEE">
        <w:t xml:space="preserve">); </w:t>
      </w:r>
      <w:r w:rsidR="00263CED">
        <w:t xml:space="preserve">35% ý kiến phản đối </w:t>
      </w:r>
      <w:r w:rsidR="008A1E71">
        <w:t>phương án ngưng thực hiện quy định nhà đầu tư chuyên nghiệp và đề nghị tiếp tục thực hiện theo Nghị định số 65 (</w:t>
      </w:r>
      <w:r w:rsidR="00263CED">
        <w:t>phương án 2</w:t>
      </w:r>
      <w:r w:rsidR="008A1E71">
        <w:t>)</w:t>
      </w:r>
      <w:r w:rsidR="00263CED">
        <w:t xml:space="preserve"> (</w:t>
      </w:r>
      <w:r w:rsidR="00092DEE">
        <w:t xml:space="preserve">01/08 Bộ, ngành </w:t>
      </w:r>
      <w:r w:rsidR="00263CED">
        <w:t xml:space="preserve">là </w:t>
      </w:r>
      <w:r w:rsidR="00092DEE">
        <w:t>Thanh tra Chính phủ</w:t>
      </w:r>
      <w:r w:rsidR="00263CED">
        <w:t>; 02/06 chuyên gia và 03/03 tổ chức quốc tế</w:t>
      </w:r>
      <w:r w:rsidR="00092DEE">
        <w:t>)</w:t>
      </w:r>
      <w:r w:rsidR="00263CED">
        <w:t>; 24% không thể hiện qu</w:t>
      </w:r>
      <w:r w:rsidR="001E13F4">
        <w:t>a</w:t>
      </w:r>
      <w:r w:rsidR="00263CED">
        <w:t>n điểm</w:t>
      </w:r>
      <w:r w:rsidR="00092DEE">
        <w:t xml:space="preserve"> </w:t>
      </w:r>
      <w:r w:rsidR="00263CED">
        <w:t>(</w:t>
      </w:r>
      <w:r w:rsidR="00092DEE">
        <w:t xml:space="preserve">03/08 Bộ, ngành </w:t>
      </w:r>
      <w:r w:rsidR="00263CED">
        <w:t xml:space="preserve">là </w:t>
      </w:r>
      <w:r w:rsidR="00092DEE">
        <w:t xml:space="preserve">Bộ Tư pháp, NHNN, </w:t>
      </w:r>
      <w:r w:rsidR="00263CED">
        <w:t>KTNN</w:t>
      </w:r>
      <w:r w:rsidR="00092DEE">
        <w:t xml:space="preserve">). </w:t>
      </w:r>
    </w:p>
    <w:p w:rsidR="00314C05" w:rsidRPr="00314C05" w:rsidRDefault="00F532C8" w:rsidP="00095C0A">
      <w:pPr>
        <w:widowControl w:val="0"/>
        <w:spacing w:before="120" w:after="120" w:line="320" w:lineRule="exact"/>
        <w:ind w:firstLine="697"/>
        <w:jc w:val="both"/>
        <w:outlineLvl w:val="0"/>
        <w:rPr>
          <w:rFonts w:eastAsia="Batang"/>
          <w:lang w:eastAsia="ko-KR"/>
        </w:rPr>
      </w:pPr>
      <w:r>
        <w:rPr>
          <w:rFonts w:eastAsia="Batang"/>
          <w:lang w:eastAsia="ko-KR"/>
        </w:rPr>
        <w:t xml:space="preserve">- </w:t>
      </w:r>
      <w:r w:rsidR="0093772C">
        <w:rPr>
          <w:rFonts w:eastAsia="Batang"/>
          <w:lang w:eastAsia="ko-KR"/>
        </w:rPr>
        <w:t>Do còn nhiều ý kiến khác nhau giữa các đơn vị</w:t>
      </w:r>
      <w:r w:rsidR="00D70299">
        <w:rPr>
          <w:rFonts w:eastAsia="Batang"/>
          <w:lang w:eastAsia="ko-KR"/>
        </w:rPr>
        <w:t>, Bộ Tài chính</w:t>
      </w:r>
      <w:r w:rsidR="00314C05">
        <w:rPr>
          <w:rFonts w:eastAsia="Batang"/>
          <w:lang w:eastAsia="ko-KR"/>
        </w:rPr>
        <w:t xml:space="preserve"> trình Chính phủ</w:t>
      </w:r>
      <w:r w:rsidR="0093772C">
        <w:rPr>
          <w:rFonts w:eastAsia="Batang"/>
          <w:lang w:eastAsia="ko-KR"/>
        </w:rPr>
        <w:t xml:space="preserve"> 02 phương án nêu trên</w:t>
      </w:r>
      <w:r w:rsidR="009B5EA6">
        <w:rPr>
          <w:rFonts w:eastAsia="Batang"/>
          <w:lang w:eastAsia="ko-KR"/>
        </w:rPr>
        <w:t>.</w:t>
      </w:r>
      <w:r w:rsidR="0093772C">
        <w:rPr>
          <w:rFonts w:eastAsia="Batang"/>
          <w:lang w:eastAsia="ko-KR"/>
        </w:rPr>
        <w:t xml:space="preserve"> </w:t>
      </w:r>
    </w:p>
    <w:p w:rsidR="00605E00" w:rsidRPr="00605E00" w:rsidRDefault="00605E00" w:rsidP="00095C0A">
      <w:pPr>
        <w:widowControl w:val="0"/>
        <w:spacing w:before="120" w:after="120" w:line="320" w:lineRule="exact"/>
        <w:ind w:firstLine="697"/>
        <w:jc w:val="both"/>
        <w:outlineLvl w:val="0"/>
        <w:rPr>
          <w:b/>
          <w:i/>
          <w:lang w:val="pt-BR"/>
        </w:rPr>
      </w:pPr>
      <w:r w:rsidRPr="00605E00">
        <w:rPr>
          <w:b/>
          <w:i/>
        </w:rPr>
        <w:t xml:space="preserve">3.2.2. </w:t>
      </w:r>
      <w:r w:rsidR="00300B7C">
        <w:rPr>
          <w:b/>
          <w:i/>
          <w:lang w:val="pt-BR"/>
        </w:rPr>
        <w:t xml:space="preserve">Ngưng hiệu lực thi hành đến hết ngày 31/12/2023 </w:t>
      </w:r>
      <w:r>
        <w:rPr>
          <w:b/>
          <w:i/>
          <w:lang w:val="pt-BR"/>
        </w:rPr>
        <w:t>đối với quy định</w:t>
      </w:r>
      <w:r w:rsidRPr="00605E00">
        <w:rPr>
          <w:b/>
          <w:i/>
          <w:lang w:val="pt-BR"/>
        </w:rPr>
        <w:t xml:space="preserve"> xếp hạng tín nhiệm bắt buộc</w:t>
      </w:r>
      <w:r w:rsidR="000A4839">
        <w:rPr>
          <w:b/>
          <w:i/>
          <w:lang w:val="pt-BR"/>
        </w:rPr>
        <w:t xml:space="preserve"> và quy định giảm thời gian phân phối trái phiếu</w:t>
      </w:r>
      <w:r>
        <w:rPr>
          <w:b/>
          <w:i/>
          <w:lang w:val="pt-BR"/>
        </w:rPr>
        <w:t xml:space="preserve"> tại Nghị định số 65</w:t>
      </w:r>
    </w:p>
    <w:p w:rsidR="000A4839" w:rsidRPr="000A4839" w:rsidRDefault="000A4839" w:rsidP="00095C0A">
      <w:pPr>
        <w:widowControl w:val="0"/>
        <w:spacing w:before="120" w:after="120" w:line="320" w:lineRule="exact"/>
        <w:ind w:firstLine="697"/>
        <w:jc w:val="both"/>
        <w:outlineLvl w:val="0"/>
        <w:rPr>
          <w:i/>
        </w:rPr>
      </w:pPr>
      <w:r w:rsidRPr="000A4839">
        <w:rPr>
          <w:i/>
        </w:rPr>
        <w:t xml:space="preserve">a) Về </w:t>
      </w:r>
      <w:r w:rsidR="00300B7C">
        <w:rPr>
          <w:i/>
        </w:rPr>
        <w:t>n</w:t>
      </w:r>
      <w:r w:rsidR="00300B7C" w:rsidRPr="00300B7C">
        <w:rPr>
          <w:i/>
        </w:rPr>
        <w:t xml:space="preserve">gưng hiệu lực thi hành đến hết ngày 31/12/2023 </w:t>
      </w:r>
      <w:r w:rsidR="00300B7C">
        <w:rPr>
          <w:i/>
        </w:rPr>
        <w:t xml:space="preserve">đối với quy </w:t>
      </w:r>
      <w:r w:rsidRPr="000A4839">
        <w:rPr>
          <w:i/>
        </w:rPr>
        <w:t>định</w:t>
      </w:r>
      <w:r>
        <w:rPr>
          <w:i/>
        </w:rPr>
        <w:t xml:space="preserve"> </w:t>
      </w:r>
      <w:r w:rsidRPr="000A4839">
        <w:rPr>
          <w:i/>
        </w:rPr>
        <w:t>xếp hạng tín nhiệm bắt buộc</w:t>
      </w:r>
    </w:p>
    <w:p w:rsidR="00605E00" w:rsidRDefault="00605E00" w:rsidP="00095C0A">
      <w:pPr>
        <w:widowControl w:val="0"/>
        <w:spacing w:before="120" w:after="120" w:line="320" w:lineRule="exact"/>
        <w:ind w:firstLine="697"/>
        <w:jc w:val="both"/>
        <w:outlineLvl w:val="0"/>
      </w:pPr>
      <w:r>
        <w:t xml:space="preserve">- Nghị định số 65 (khoản 8 điều 1) yêu cầu hồ sơ chào bán trái phiếu của doanh nghiệp phải có </w:t>
      </w:r>
      <w:r w:rsidRPr="00DC522F">
        <w:t>kết quả xếp hạng tín nhiệm đối với doanh nghiệp phát hành trái phiếu nếu doanh nghiệp phát hành thuộc các trường hợp phải xếp hạng tín nhiệm</w:t>
      </w:r>
      <w:r>
        <w:t xml:space="preserve"> từ ngày 01/01/2023</w:t>
      </w:r>
      <w:r>
        <w:rPr>
          <w:rStyle w:val="FootnoteReference"/>
        </w:rPr>
        <w:footnoteReference w:id="5"/>
      </w:r>
      <w:r>
        <w:t xml:space="preserve">.  </w:t>
      </w:r>
    </w:p>
    <w:p w:rsidR="00605E00" w:rsidRDefault="00605E00" w:rsidP="00095C0A">
      <w:pPr>
        <w:widowControl w:val="0"/>
        <w:spacing w:before="120" w:after="120" w:line="320" w:lineRule="exact"/>
        <w:ind w:firstLine="697"/>
        <w:jc w:val="both"/>
        <w:outlineLvl w:val="0"/>
      </w:pPr>
      <w:r>
        <w:t>- Trong bối cảnh doanh nghiệp gặp khó khăn trong việc huy động vốn phục vụ hoạt động sản xuất, kinh doanh, trong khi việc thực hiện xếp hạng tín nhiệm phải mất một khoảng thời gian nhất định và tăng thêm chi phí phát hành của doanh nghiệp</w:t>
      </w:r>
      <w:r w:rsidR="00A9116C">
        <w:t>; trên thị trường hiện nay mới có 02 doanh nghiệp xếp hạng tín nhiệm được cấp phép.</w:t>
      </w:r>
      <w:r>
        <w:t xml:space="preserve"> Do đó, Bộ Tài chính trình Chính phủ cho phép </w:t>
      </w:r>
      <w:r w:rsidR="00922760">
        <w:t xml:space="preserve">ngưng </w:t>
      </w:r>
      <w:r>
        <w:t>thực hiện quy định về bắt buộc xếp hạng tín nhiệm trong 01 năm, từ ngày 01/1/2024 sẽ thực hiện quy định này. Đối với TPDN chào bán ra công chúng, vẫn thực hiện theo lộ trình tại Nghị định số 155/2020/NĐ-CP, phải xếp hạng tín nhiệm từ ngày 01/1/2023.</w:t>
      </w:r>
    </w:p>
    <w:p w:rsidR="00F532C8" w:rsidRDefault="00F532C8" w:rsidP="00095C0A">
      <w:pPr>
        <w:widowControl w:val="0"/>
        <w:spacing w:before="120" w:after="120" w:line="320" w:lineRule="exact"/>
        <w:ind w:firstLine="697"/>
        <w:jc w:val="both"/>
        <w:outlineLvl w:val="0"/>
      </w:pPr>
      <w:r>
        <w:rPr>
          <w:rFonts w:eastAsia="Batang"/>
          <w:lang w:eastAsia="ko-KR"/>
        </w:rPr>
        <w:t xml:space="preserve">- </w:t>
      </w:r>
      <w:r w:rsidR="00922760">
        <w:rPr>
          <w:rFonts w:eastAsia="Batang"/>
          <w:lang w:eastAsia="ko-KR"/>
        </w:rPr>
        <w:t>Ý kiến các Bộ, ngành:</w:t>
      </w:r>
      <w:r>
        <w:t xml:space="preserve"> có</w:t>
      </w:r>
      <w:r w:rsidR="00922760">
        <w:t xml:space="preserve"> 47% ý kiến nhất trí (</w:t>
      </w:r>
      <w:r>
        <w:t xml:space="preserve">04/08 Bộ, ngành </w:t>
      </w:r>
      <w:r w:rsidR="00922760">
        <w:t xml:space="preserve">là </w:t>
      </w:r>
      <w:r>
        <w:t xml:space="preserve">Bộ </w:t>
      </w:r>
      <w:r w:rsidR="00922760">
        <w:t>CA</w:t>
      </w:r>
      <w:r>
        <w:t xml:space="preserve"> Thanh tra Chính phủ, Bộ XD, </w:t>
      </w:r>
      <w:r w:rsidR="00922760">
        <w:t>UBGSTCQG; 04/06 chuyên gia; 0/3 tổ chức quốc tế</w:t>
      </w:r>
      <w:r>
        <w:t xml:space="preserve">); có </w:t>
      </w:r>
      <w:r w:rsidR="00922760">
        <w:t>18% ý kiến phản đối (3/3 tổ chức quốc tế); có 35% không thể hiện quan điểm (</w:t>
      </w:r>
      <w:r>
        <w:t xml:space="preserve">04/08 Bộ, ngành </w:t>
      </w:r>
      <w:r w:rsidR="00922760">
        <w:t xml:space="preserve">là </w:t>
      </w:r>
      <w:r>
        <w:t xml:space="preserve">Bộ Tư pháp, Bộ KHĐT, NHNN, </w:t>
      </w:r>
      <w:r w:rsidR="00922760">
        <w:t>KTNN;</w:t>
      </w:r>
      <w:r>
        <w:t xml:space="preserve"> 02/06 </w:t>
      </w:r>
      <w:r w:rsidR="00922760">
        <w:t>chuyên gia)</w:t>
      </w:r>
      <w:r>
        <w:t xml:space="preserve">. </w:t>
      </w:r>
    </w:p>
    <w:p w:rsidR="00605E00" w:rsidRDefault="00605E00" w:rsidP="00095C0A">
      <w:pPr>
        <w:widowControl w:val="0"/>
        <w:spacing w:before="120" w:after="120" w:line="320" w:lineRule="exact"/>
        <w:ind w:firstLine="697"/>
        <w:jc w:val="both"/>
        <w:outlineLvl w:val="0"/>
      </w:pPr>
      <w:r>
        <w:t xml:space="preserve">- </w:t>
      </w:r>
      <w:r w:rsidR="00922760">
        <w:t>Việc ngưng</w:t>
      </w:r>
      <w:r w:rsidR="00F532C8">
        <w:t xml:space="preserve"> thực hiện quy định về xếp hạng tín nhiệm</w:t>
      </w:r>
      <w:r>
        <w:t xml:space="preserve"> chưa đạt được mục tiêu khi sửa Nghị định 65 là tăng tính công khai, minh bạch của thị trường. Tuy nhiên về phía doanh nghiệp, để củng cố niềm tin của nhà đầu tư và tăng tính hấp dẫn của trái phiếu khi minh bạch hóa hơn tình hình tài chính, khả năng trả nợ của doanh nghiệp thông qua công bố hệ số tín nhiệm, doanh nghiệp vẫn có thể chủ động tự nguyện thực hiện xếp hạng tín nhiệm. </w:t>
      </w:r>
      <w:r w:rsidR="00F532C8">
        <w:t xml:space="preserve">Bộ Tài chính đã có văn bản gửi các doanh nghiệp phát hành đề nghị báo cáo hàng tuần về tình hình thanh toán gốc, lãi trái phiếu đến hạn và khuyến khích sử dụng các dịch vụ kiểm toán, xếp hạng tín nhiệm, định giá tài sản để công bố thông tin cho nhà đầu tư có đánh giá đầy đủ về tình hình tài chính của doanh nghiệp phát hành. </w:t>
      </w:r>
      <w:r>
        <w:t xml:space="preserve">Trong thời gian tới Bộ Tài chính sẽ tăng cường tuyên truyền về </w:t>
      </w:r>
      <w:r w:rsidR="00D76F8F">
        <w:t>xếp hạng</w:t>
      </w:r>
      <w:r>
        <w:t xml:space="preserve"> tín nhiệm, đồng thời sẽ triển khai, cấp phép bổ sung các doanh nghiệp xếp hạng tín nhiệm theo quy định của pháp luật để cung ứng các dịch vụ cho thị trường</w:t>
      </w:r>
      <w:r>
        <w:rPr>
          <w:rStyle w:val="FootnoteReference"/>
        </w:rPr>
        <w:footnoteReference w:id="6"/>
      </w:r>
      <w:r>
        <w:t>.</w:t>
      </w:r>
    </w:p>
    <w:p w:rsidR="000A4839" w:rsidRPr="000A4839" w:rsidRDefault="000A4839" w:rsidP="00095C0A">
      <w:pPr>
        <w:widowControl w:val="0"/>
        <w:spacing w:before="120" w:after="120" w:line="320" w:lineRule="exact"/>
        <w:ind w:firstLine="697"/>
        <w:jc w:val="both"/>
        <w:outlineLvl w:val="0"/>
        <w:rPr>
          <w:i/>
        </w:rPr>
      </w:pPr>
      <w:r w:rsidRPr="000A4839">
        <w:rPr>
          <w:i/>
        </w:rPr>
        <w:t xml:space="preserve">b) Về </w:t>
      </w:r>
      <w:r w:rsidR="00F37B3E">
        <w:rPr>
          <w:i/>
        </w:rPr>
        <w:t>n</w:t>
      </w:r>
      <w:r w:rsidR="00F37B3E" w:rsidRPr="00300B7C">
        <w:rPr>
          <w:i/>
        </w:rPr>
        <w:t xml:space="preserve">gưng hiệu lực thi hành đến hết ngày 31/12/2023 </w:t>
      </w:r>
      <w:r w:rsidR="00F37B3E">
        <w:rPr>
          <w:i/>
        </w:rPr>
        <w:t xml:space="preserve">đối với </w:t>
      </w:r>
      <w:r w:rsidRPr="000A4839">
        <w:rPr>
          <w:i/>
        </w:rPr>
        <w:t>quy định giảm thờ</w:t>
      </w:r>
      <w:r w:rsidR="004F4F1F">
        <w:rPr>
          <w:i/>
        </w:rPr>
        <w:t xml:space="preserve">i gian phân phối trái phiếu </w:t>
      </w:r>
    </w:p>
    <w:p w:rsidR="000A4839" w:rsidRDefault="000A4839" w:rsidP="00095C0A">
      <w:pPr>
        <w:widowControl w:val="0"/>
        <w:spacing w:before="120" w:after="120" w:line="320" w:lineRule="exact"/>
        <w:ind w:firstLine="697"/>
        <w:jc w:val="both"/>
        <w:outlineLvl w:val="0"/>
      </w:pPr>
      <w:r>
        <w:t>- Nghị định số 65 (khoản 7, khoản 8 Điều 1) quy định thời gian phân phối trái phiếu của từng đợt chào bán không vượt quá 30 ngày (quy định trước đây tại Nghị định số 153 là 90 ngày).</w:t>
      </w:r>
    </w:p>
    <w:p w:rsidR="000A4839" w:rsidRDefault="000A4839" w:rsidP="00095C0A">
      <w:pPr>
        <w:widowControl w:val="0"/>
        <w:spacing w:before="120" w:after="120" w:line="320" w:lineRule="exact"/>
        <w:ind w:firstLine="697"/>
        <w:jc w:val="both"/>
        <w:outlineLvl w:val="0"/>
      </w:pPr>
      <w:r>
        <w:t xml:space="preserve">- Quy định về thời gian phân phối trái phiếu như trên nhằm nâng cao tính chuyên nghiệp của nhà đầu tư mua trái phiếu, hướng đến nhà đầu tư chứng khoán chuyên nghiệp có tổ chức. Một số doanh nghiệp có ý kiến đề nghị </w:t>
      </w:r>
      <w:r w:rsidR="00F37B3E">
        <w:t>ngưng</w:t>
      </w:r>
      <w:r>
        <w:t xml:space="preserve"> thực hiện quy định giảm thời gian phân phối trái phiếu tại Nghị định số 65 (khoản 7, khoản 8 Điều 1). </w:t>
      </w:r>
    </w:p>
    <w:p w:rsidR="00B05EF8" w:rsidRDefault="000A4839" w:rsidP="00095C0A">
      <w:pPr>
        <w:widowControl w:val="0"/>
        <w:spacing w:before="120" w:after="120" w:line="320" w:lineRule="exact"/>
        <w:ind w:firstLine="697"/>
        <w:jc w:val="both"/>
        <w:outlineLvl w:val="0"/>
      </w:pPr>
      <w:r>
        <w:t xml:space="preserve">- Trong bối cảnh thị trường gặp khó khăn về thanh khoản, doanh nghiệp cần cân đối và huy động các nguồn lực để thanh toán các nghĩa vụ nợ đến hạn giai đoạn 2023-2024, Bộ Tài chính trình Chính phủ </w:t>
      </w:r>
      <w:r w:rsidR="00F37B3E">
        <w:t>ngưng</w:t>
      </w:r>
      <w:r w:rsidR="00F37B3E" w:rsidRPr="00EC3BAB">
        <w:t xml:space="preserve"> </w:t>
      </w:r>
      <w:r>
        <w:t>thực hiện quy định về giảm thời gian phân phối trái phiếu tại Nghị định số 65 trong vòng 01 năm. Theo đó việc phân phối trái phiếu của từng đợt là 90 ngày.</w:t>
      </w:r>
      <w:r w:rsidRPr="00EC3BAB">
        <w:t xml:space="preserve"> </w:t>
      </w:r>
      <w:r>
        <w:t xml:space="preserve">Kể từ ngày 01/1/2024, doanh nghiệp sẽ tiếp tục thực hiện theo quy định tại Nghị định số 65, giảm thời gian phân phối từng đợt xuống còn 30 ngày. </w:t>
      </w:r>
    </w:p>
    <w:p w:rsidR="000A4839" w:rsidRPr="00BF17F2" w:rsidRDefault="00B05EF8" w:rsidP="00095C0A">
      <w:pPr>
        <w:widowControl w:val="0"/>
        <w:spacing w:before="120" w:after="120" w:line="320" w:lineRule="exact"/>
        <w:ind w:firstLine="697"/>
        <w:jc w:val="both"/>
        <w:outlineLvl w:val="0"/>
      </w:pPr>
      <w:r>
        <w:t xml:space="preserve">- </w:t>
      </w:r>
      <w:r w:rsidR="00F37B3E">
        <w:t>Ý kiến các Bộ, ngành: có 47% ý kiến nhất trí (</w:t>
      </w:r>
      <w:r>
        <w:t xml:space="preserve">04/08 Bộ, ngành </w:t>
      </w:r>
      <w:r w:rsidR="00F37B3E">
        <w:t xml:space="preserve">là </w:t>
      </w:r>
      <w:r>
        <w:t xml:space="preserve">Bộ </w:t>
      </w:r>
      <w:r w:rsidR="00F37B3E">
        <w:t>CA</w:t>
      </w:r>
      <w:r>
        <w:t xml:space="preserve">, Thanh tra Chính phủ, Bộ XD, </w:t>
      </w:r>
      <w:r w:rsidR="00F37B3E">
        <w:t>UBGSTCQG</w:t>
      </w:r>
      <w:r>
        <w:t>;</w:t>
      </w:r>
      <w:r w:rsidR="00F37B3E">
        <w:t xml:space="preserve"> 03/06 chuyên gia; 01/03 tổ chức quốc tế);</w:t>
      </w:r>
      <w:r>
        <w:t xml:space="preserve"> </w:t>
      </w:r>
      <w:r w:rsidR="00F37B3E">
        <w:t>có 53% không thể hiện quan điểm (</w:t>
      </w:r>
      <w:r>
        <w:t xml:space="preserve">Bộ </w:t>
      </w:r>
      <w:r w:rsidR="00F37B3E">
        <w:t>TP</w:t>
      </w:r>
      <w:r>
        <w:t xml:space="preserve">, Bộ KHĐT, NHNN, </w:t>
      </w:r>
      <w:r w:rsidR="00F37B3E">
        <w:t>KTNN;</w:t>
      </w:r>
      <w:r>
        <w:t xml:space="preserve"> 03/06 </w:t>
      </w:r>
      <w:r w:rsidR="00F37B3E">
        <w:t>chuyên gia;</w:t>
      </w:r>
      <w:r>
        <w:t xml:space="preserve"> 02/03 </w:t>
      </w:r>
      <w:r w:rsidR="00F37B3E">
        <w:t>tổ chức quốc tế)</w:t>
      </w:r>
      <w:r>
        <w:t>.</w:t>
      </w:r>
    </w:p>
    <w:p w:rsidR="00017CEF" w:rsidRDefault="00314C05" w:rsidP="00095C0A">
      <w:pPr>
        <w:widowControl w:val="0"/>
        <w:spacing w:before="120" w:after="120" w:line="320" w:lineRule="exact"/>
        <w:ind w:firstLine="697"/>
        <w:jc w:val="both"/>
        <w:outlineLvl w:val="0"/>
        <w:rPr>
          <w:b/>
          <w:i/>
        </w:rPr>
      </w:pPr>
      <w:r>
        <w:rPr>
          <w:b/>
          <w:i/>
        </w:rPr>
        <w:t>3</w:t>
      </w:r>
      <w:r w:rsidR="00017CEF">
        <w:rPr>
          <w:b/>
          <w:i/>
        </w:rPr>
        <w:t>.2.</w:t>
      </w:r>
      <w:r>
        <w:rPr>
          <w:b/>
          <w:i/>
        </w:rPr>
        <w:t>3</w:t>
      </w:r>
      <w:r w:rsidR="00017CEF">
        <w:rPr>
          <w:b/>
          <w:i/>
        </w:rPr>
        <w:t xml:space="preserve">. Về việc </w:t>
      </w:r>
      <w:r w:rsidR="00E22188">
        <w:rPr>
          <w:b/>
          <w:i/>
        </w:rPr>
        <w:t xml:space="preserve">(i) </w:t>
      </w:r>
      <w:r w:rsidR="00017CEF">
        <w:rPr>
          <w:b/>
          <w:i/>
        </w:rPr>
        <w:t xml:space="preserve">cho phép các trái phiếu đã phát hành trước đây được </w:t>
      </w:r>
      <w:r w:rsidR="00F37B3E">
        <w:rPr>
          <w:b/>
          <w:i/>
        </w:rPr>
        <w:t xml:space="preserve">đàm phán để thay đổi điều kiện, điều khoản, </w:t>
      </w:r>
      <w:r w:rsidR="00017CEF">
        <w:rPr>
          <w:b/>
          <w:i/>
        </w:rPr>
        <w:t>kéo dài kỳ hạn của trái phiếu</w:t>
      </w:r>
      <w:r w:rsidR="00F37B3E">
        <w:rPr>
          <w:b/>
          <w:i/>
        </w:rPr>
        <w:t xml:space="preserve"> và </w:t>
      </w:r>
      <w:r w:rsidR="00E22188">
        <w:rPr>
          <w:b/>
          <w:i/>
        </w:rPr>
        <w:t xml:space="preserve">(ii) </w:t>
      </w:r>
      <w:r w:rsidR="00F37B3E">
        <w:rPr>
          <w:b/>
          <w:i/>
        </w:rPr>
        <w:t>chuyển khoản thanh toán gốc, lãi trái phiếu thành khoản vay và các tài sản khác</w:t>
      </w:r>
    </w:p>
    <w:p w:rsidR="00E22188" w:rsidRPr="00E22188" w:rsidRDefault="00E22188" w:rsidP="00095C0A">
      <w:pPr>
        <w:widowControl w:val="0"/>
        <w:spacing w:before="120" w:after="120" w:line="320" w:lineRule="exact"/>
        <w:ind w:firstLine="697"/>
        <w:jc w:val="both"/>
        <w:outlineLvl w:val="0"/>
        <w:rPr>
          <w:i/>
        </w:rPr>
      </w:pPr>
      <w:r w:rsidRPr="00E22188">
        <w:rPr>
          <w:i/>
        </w:rPr>
        <w:t>a) Về việc cho phép các trái phiếu đã phát hành trước đây được đàm phán để thay đổi điều kiện, điều khoản, kéo dài kỳ hạn của trái phiếu</w:t>
      </w:r>
    </w:p>
    <w:p w:rsidR="00017CEF" w:rsidRDefault="00017CEF" w:rsidP="00095C0A">
      <w:pPr>
        <w:widowControl w:val="0"/>
        <w:spacing w:before="120" w:after="120" w:line="320" w:lineRule="exact"/>
        <w:ind w:firstLine="697"/>
        <w:jc w:val="both"/>
        <w:outlineLvl w:val="0"/>
      </w:pPr>
      <w:r>
        <w:t>- Nghị định số 65 quy định đối với TPDN đã phát hành trước khi Nghị định có hiệu lực thi hành và còn dư nợ thì “doanh nghiệp không được thay đổi kỳ hạn của trái phiếu đã phát hành”.</w:t>
      </w:r>
      <w:r w:rsidR="002C7D6C">
        <w:t xml:space="preserve"> </w:t>
      </w:r>
      <w:r w:rsidR="00302E4A">
        <w:t xml:space="preserve">Quy định này </w:t>
      </w:r>
      <w:r w:rsidR="00D44F19">
        <w:t xml:space="preserve">tại Nghị định số 65 </w:t>
      </w:r>
      <w:r w:rsidR="00302E4A">
        <w:t>đã được thực hiện từ năm 2020 do hệ thống pháp luật về phát hành TPDN được hoàn thiện qua từng giai đoạn để tiến tới việc phát hành trái phiếu chuẩn cho nhà đầu tư chứng khoán chuyên nghiệp theo quy định tại Luật Chứng khoán</w:t>
      </w:r>
      <w:r w:rsidR="00F37B3E">
        <w:t xml:space="preserve"> năm 2019</w:t>
      </w:r>
      <w:r w:rsidR="00302E4A">
        <w:t>, Luật Doanh nghiệp</w:t>
      </w:r>
      <w:r w:rsidR="00F37B3E">
        <w:t xml:space="preserve"> năm 2020</w:t>
      </w:r>
      <w:r w:rsidR="00302E4A">
        <w:t xml:space="preserve">. </w:t>
      </w:r>
      <w:r>
        <w:t xml:space="preserve"> </w:t>
      </w:r>
    </w:p>
    <w:p w:rsidR="00E22188" w:rsidRDefault="00E61FE8" w:rsidP="00095C0A">
      <w:pPr>
        <w:widowControl w:val="0"/>
        <w:spacing w:before="120" w:after="120" w:line="320" w:lineRule="exact"/>
        <w:ind w:firstLine="697"/>
        <w:jc w:val="both"/>
        <w:outlineLvl w:val="0"/>
      </w:pPr>
      <w:r>
        <w:t xml:space="preserve">- </w:t>
      </w:r>
      <w:r w:rsidR="002244D6">
        <w:t>H</w:t>
      </w:r>
      <w:r>
        <w:t>iện nay thị trường tài chính</w:t>
      </w:r>
      <w:r w:rsidR="00D44F19">
        <w:t>, tiền tệ</w:t>
      </w:r>
      <w:r>
        <w:t xml:space="preserve"> gặp khó khăn về thanh khoản, doanh nghiệp khó phát hành trái phiếu mới trong khi lại có áp lực trả nợ đối với các trái phiếu đáo hạn năm 2023-2024 nên để hỗ trợ doanh nghiệp có khả năng huy động vốn</w:t>
      </w:r>
      <w:r w:rsidR="002C7D6C">
        <w:t xml:space="preserve"> để phục vụ hoạt động sản xuất, kinh doanh và</w:t>
      </w:r>
      <w:r>
        <w:t xml:space="preserve"> cơ cấu lại các khoản nợ, Bộ Tài chính trình Chính phủ bổ sung quy định </w:t>
      </w:r>
      <w:r w:rsidRPr="00A104DB">
        <w:rPr>
          <w:i/>
          <w:iCs/>
        </w:rPr>
        <w:t xml:space="preserve">cho phép các trái phiếu đã phát hành trước đây còn dư nợ thì được </w:t>
      </w:r>
      <w:r w:rsidR="00E22188">
        <w:rPr>
          <w:i/>
          <w:iCs/>
        </w:rPr>
        <w:t xml:space="preserve">đàm phán để thay đổi điều kiện, điều </w:t>
      </w:r>
      <w:r w:rsidR="00A9116C">
        <w:rPr>
          <w:i/>
          <w:iCs/>
        </w:rPr>
        <w:t>khoản</w:t>
      </w:r>
      <w:r w:rsidR="003E33C4" w:rsidRPr="00A104DB">
        <w:rPr>
          <w:i/>
          <w:iCs/>
        </w:rPr>
        <w:t xml:space="preserve">; </w:t>
      </w:r>
      <w:r w:rsidR="00E22188">
        <w:rPr>
          <w:i/>
          <w:iCs/>
        </w:rPr>
        <w:t>trường hợp gian hạn thì t</w:t>
      </w:r>
      <w:r w:rsidRPr="00A104DB">
        <w:rPr>
          <w:i/>
          <w:iCs/>
        </w:rPr>
        <w:t xml:space="preserve">hời gian tối đa là </w:t>
      </w:r>
      <w:r w:rsidR="003E33C4" w:rsidRPr="00A104DB">
        <w:rPr>
          <w:i/>
          <w:iCs/>
        </w:rPr>
        <w:t>02</w:t>
      </w:r>
      <w:r w:rsidRPr="00A104DB">
        <w:rPr>
          <w:i/>
          <w:iCs/>
        </w:rPr>
        <w:t xml:space="preserve"> năm</w:t>
      </w:r>
      <w:r w:rsidR="00A104DB" w:rsidRPr="00A104DB">
        <w:t>.</w:t>
      </w:r>
      <w:r>
        <w:t xml:space="preserve"> </w:t>
      </w:r>
      <w:r w:rsidR="00A104DB">
        <w:t xml:space="preserve">Việc cho phép gia hạn, về mặt tổng thể thị trường cũng sẽ giúp phân tán </w:t>
      </w:r>
      <w:r>
        <w:t>khối lượng trái phiếu đáo hạn đạt đỉnh vào năm</w:t>
      </w:r>
      <w:r w:rsidR="003E33C4">
        <w:t xml:space="preserve"> 2023-</w:t>
      </w:r>
      <w:r>
        <w:t>2024</w:t>
      </w:r>
      <w:r w:rsidR="003E33C4">
        <w:t xml:space="preserve"> (đối với trái phiếu đáo hạn vào 2023-2024, trường hợp doanh nghiệp gặp khó khăn thanh toán thì có thể thỏa thuận với nhà đầu tư để gia hạn sang 2025-2026 để qua giai đoạn đỉnh nợ</w:t>
      </w:r>
      <w:r w:rsidR="00E22188">
        <w:t xml:space="preserve"> hoặc đàm phán để giãn, hoãn hoặc thay đổi một số điều kiện, điều khoản của trái phiếu</w:t>
      </w:r>
      <w:r w:rsidR="003E33C4">
        <w:t>).</w:t>
      </w:r>
      <w:r w:rsidR="009C2EF4">
        <w:t xml:space="preserve"> Theo đánh giá của các chuyên gia kinh tế giai đoạn tới kinh tế Việt Nam tiếp tục duy trì đà tăng trưởng như hiện nay, theo đó đến giai đoạn năm 2025-2026 doanh nghiệp sẽ cơ bản giải quyết được các khó khăn về thanh khoản và cơ cấu nợ.</w:t>
      </w:r>
      <w:r w:rsidR="003E33C4">
        <w:t xml:space="preserve"> </w:t>
      </w:r>
    </w:p>
    <w:p w:rsidR="008A1E71" w:rsidRDefault="008A1E71" w:rsidP="00095C0A">
      <w:pPr>
        <w:widowControl w:val="0"/>
        <w:spacing w:before="120" w:after="120" w:line="320" w:lineRule="exact"/>
        <w:ind w:firstLine="697"/>
        <w:jc w:val="both"/>
        <w:outlineLvl w:val="0"/>
      </w:pPr>
      <w:r>
        <w:t xml:space="preserve">- </w:t>
      </w:r>
      <w:r w:rsidRPr="00A3648B">
        <w:t xml:space="preserve">Việc </w:t>
      </w:r>
      <w:r>
        <w:t xml:space="preserve">thay đổi điều kiện, điều khoản, </w:t>
      </w:r>
      <w:r w:rsidRPr="00A3648B">
        <w:t>gia hạn trái phiếu phải được các chủ sở hữu trái phiếu đại diện trên 65% tổng số trái phiếu đang lưu hành chấp thuận</w:t>
      </w:r>
      <w:r>
        <w:t xml:space="preserve"> (như quy định hiện hành)</w:t>
      </w:r>
      <w:r w:rsidRPr="00A3648B">
        <w:t>, quy định này thống nhất với quy định đối với trái phiếu chào bán ra công chúng nhằm bảo vệ quyền lợi của nhà đầu tư.</w:t>
      </w:r>
    </w:p>
    <w:p w:rsidR="003E33C4" w:rsidRDefault="008A1E71" w:rsidP="00095C0A">
      <w:pPr>
        <w:widowControl w:val="0"/>
        <w:spacing w:before="120" w:after="120" w:line="320" w:lineRule="exact"/>
        <w:ind w:firstLine="697"/>
        <w:jc w:val="both"/>
        <w:outlineLvl w:val="0"/>
      </w:pPr>
      <w:r>
        <w:t xml:space="preserve">- Đa phần các Bộ, ngành và các chuyên gia nhất trí với chính sách này. NHNN, Thanh tra Chính phủ và UBGSTCQG đề nghị đảm bảo quyền lợi cho các nhà đầu tư không chấp thuận gia hạn trái phiếu. Tiếp thu ý kiến của các Bộ, ngành, tại dự thảo Nghị định đã bổ sung quy định: </w:t>
      </w:r>
      <w:r w:rsidR="00B05EF8">
        <w:t xml:space="preserve">Đối với các nhà đầu tư không chấp thuận </w:t>
      </w:r>
      <w:r w:rsidR="00D074F7">
        <w:t xml:space="preserve">thay đổi điều kiện, điều khoản, </w:t>
      </w:r>
      <w:r w:rsidR="00B05EF8">
        <w:t>gia hạn trái phiếu, doanh nghiệp phát hành có phương án đàm phán với nhà đầu tư, trường hợp không đạt được đồng thuận thì doanh nghiệp phải thanh toán đầy đủ gốc, lãi trái phiếu khi trái phiếu đến hạn cho nhà đầu tư theo phương án phát hành đã công bố, theo đó đã đảm bảo quyền lợi của nhà đầu tư nắm giữ trái phiếu.</w:t>
      </w:r>
    </w:p>
    <w:p w:rsidR="00E22188" w:rsidRPr="00E22188" w:rsidRDefault="00E22188" w:rsidP="00095C0A">
      <w:pPr>
        <w:widowControl w:val="0"/>
        <w:spacing w:before="120" w:after="120" w:line="320" w:lineRule="exact"/>
        <w:ind w:firstLine="697"/>
        <w:jc w:val="both"/>
        <w:outlineLvl w:val="0"/>
        <w:rPr>
          <w:i/>
        </w:rPr>
      </w:pPr>
      <w:r w:rsidRPr="00E22188">
        <w:rPr>
          <w:i/>
        </w:rPr>
        <w:t>b) Về việc chuyển khoản thanh toán gốc, lãi trái phiếu thành khoản vay và các tài sản khác</w:t>
      </w:r>
    </w:p>
    <w:p w:rsidR="00E22188" w:rsidRDefault="003E33C4" w:rsidP="00095C0A">
      <w:pPr>
        <w:widowControl w:val="0"/>
        <w:spacing w:before="120" w:after="120" w:line="320" w:lineRule="exact"/>
        <w:ind w:firstLine="697"/>
        <w:jc w:val="both"/>
        <w:outlineLvl w:val="0"/>
      </w:pPr>
      <w:r>
        <w:t xml:space="preserve">- </w:t>
      </w:r>
      <w:r w:rsidR="00E22188">
        <w:t>T</w:t>
      </w:r>
      <w:r>
        <w:t xml:space="preserve">heo quy định của pháp luật dân sự hoặc quy định của pháp luật có liên quan, </w:t>
      </w:r>
      <w:r w:rsidR="00E61FE8">
        <w:t>doanh nghiệp có thể chuyển đổi trái phiếu thành khoản vay</w:t>
      </w:r>
      <w:r>
        <w:t xml:space="preserve"> hoặc tài sản khác</w:t>
      </w:r>
      <w:r w:rsidR="009C5DEE">
        <w:t xml:space="preserve">. Việc chuyển đổi trái phiếu thành khoản vay hoặc tài sản khác </w:t>
      </w:r>
      <w:r w:rsidR="00E22188">
        <w:t xml:space="preserve">phụ </w:t>
      </w:r>
      <w:r w:rsidR="009C5DEE">
        <w:t>thuộc vào thỏa thuận giữa doanh nghiệp phát hành và nhà đầu tư nắm giữ trái phiếu trên cơ sở các cam kết, điều kiện mà doanh nghiệp phát hành đưa ra</w:t>
      </w:r>
      <w:r w:rsidR="009C5DEE" w:rsidRPr="009C5DEE">
        <w:t xml:space="preserve"> </w:t>
      </w:r>
      <w:r w:rsidR="00B05EF8">
        <w:t>đối với từng đố</w:t>
      </w:r>
      <w:r w:rsidR="009C5DEE">
        <w:t>i tượng nhà đầu tư</w:t>
      </w:r>
      <w:r w:rsidR="00E61FE8">
        <w:t>.</w:t>
      </w:r>
      <w:r>
        <w:t xml:space="preserve"> </w:t>
      </w:r>
    </w:p>
    <w:p w:rsidR="00E22188" w:rsidRDefault="00E22188" w:rsidP="00095C0A">
      <w:pPr>
        <w:widowControl w:val="0"/>
        <w:spacing w:before="120" w:after="120" w:line="320" w:lineRule="exact"/>
        <w:ind w:firstLine="697"/>
        <w:jc w:val="both"/>
        <w:outlineLvl w:val="0"/>
      </w:pPr>
      <w:r>
        <w:t xml:space="preserve">- </w:t>
      </w:r>
      <w:r w:rsidR="003E33C4">
        <w:t>Do đó, để doanh nghiệp có thể lựa chọn các phương thức khác nhau để thanh toán các khoản nợ trái phiếu đến hạn, Bộ Tài chính trình Chính phủ bổ sung quy định doanh nghiệp có thể chuyển đổi</w:t>
      </w:r>
      <w:r w:rsidR="00B05EF8">
        <w:t xml:space="preserve"> khoản thanh toán gốc, lãi</w:t>
      </w:r>
      <w:r w:rsidR="003E33C4">
        <w:t xml:space="preserve"> trái phiếu</w:t>
      </w:r>
      <w:r w:rsidR="00B05EF8">
        <w:t xml:space="preserve"> đến hạn</w:t>
      </w:r>
      <w:r w:rsidR="003E33C4">
        <w:t xml:space="preserve"> thành khoản vay hoặc tài sản khác theo quy định</w:t>
      </w:r>
      <w:r w:rsidR="00003EA9">
        <w:t xml:space="preserve"> của pháp luật dân sự và pháp luật liên quan</w:t>
      </w:r>
      <w:r w:rsidR="00B05EF8">
        <w:t xml:space="preserve"> trên cơ sở đàm phán với từng nhà đầu tư</w:t>
      </w:r>
      <w:r w:rsidR="003E33C4">
        <w:t>.</w:t>
      </w:r>
      <w:r w:rsidR="00B05EF8">
        <w:t xml:space="preserve"> </w:t>
      </w:r>
    </w:p>
    <w:p w:rsidR="008A1E71" w:rsidRDefault="008A1E71" w:rsidP="00095C0A">
      <w:pPr>
        <w:widowControl w:val="0"/>
        <w:spacing w:before="120" w:after="120" w:line="320" w:lineRule="exact"/>
        <w:ind w:firstLine="697"/>
        <w:jc w:val="both"/>
        <w:outlineLvl w:val="0"/>
      </w:pPr>
      <w:r>
        <w:t>- Đa phần các Bộ, ngành và các chuyên gia nhất trí với chính sách này. NHNN đề nghị</w:t>
      </w:r>
      <w:r w:rsidR="00DE3179">
        <w:t xml:space="preserve"> quy định rõ trách nhiệm của doanh nghiệp phát hành khi chuyển đổi trái phiếu thành khoản vay hoặc tài sản khác. Tiếp thu ý kiến của NHNN, tại dự thảo Nghị định đã bổ sung quy định:</w:t>
      </w:r>
    </w:p>
    <w:p w:rsidR="00DE3179" w:rsidRDefault="00DE3179" w:rsidP="00095C0A">
      <w:pPr>
        <w:widowControl w:val="0"/>
        <w:spacing w:before="120" w:after="120" w:line="320" w:lineRule="exact"/>
        <w:ind w:firstLine="697"/>
        <w:jc w:val="both"/>
        <w:outlineLvl w:val="0"/>
      </w:pPr>
      <w:r>
        <w:t xml:space="preserve">+ </w:t>
      </w:r>
      <w:r w:rsidR="00B05EF8">
        <w:t xml:space="preserve">Doanh nghiệp phát hành phải công bố thông tin bất thường và chịu hoàn toàn trách nhiệm về tình trạng pháp lý của khoản vay, tài sản được chuyển đổi theo quy định của pháp luật. Sau khi chuyển đổi, doanh nghiệp phát hành phải tuân thủ đầy đủ quy định của pháp luật đối với khoản vay và tài sản chuyển đổi đó. </w:t>
      </w:r>
    </w:p>
    <w:p w:rsidR="00E61FE8" w:rsidRDefault="00DE3179" w:rsidP="00095C0A">
      <w:pPr>
        <w:widowControl w:val="0"/>
        <w:spacing w:before="120" w:after="120" w:line="320" w:lineRule="exact"/>
        <w:ind w:firstLine="697"/>
        <w:jc w:val="both"/>
        <w:outlineLvl w:val="0"/>
      </w:pPr>
      <w:r>
        <w:t xml:space="preserve">+ </w:t>
      </w:r>
      <w:r w:rsidR="00B05EF8">
        <w:t xml:space="preserve">Trường hợp người sở hữu trái phiếu không chấp thuận việc chuyển đổi thì doanh nghiệp phải thanh toán đầy đủ gốc, lãi trái phiếu khi đến hạn theo phương án phát hành trái phiếu đã công bố cho nhà đầu tư, theo đó đảm bảo quyền lợi của nhà đầu tư nắm giữ trái phiếu. </w:t>
      </w:r>
    </w:p>
    <w:p w:rsidR="00DB57A6" w:rsidRPr="00F51E3C" w:rsidRDefault="003F4BCB" w:rsidP="00095C0A">
      <w:pPr>
        <w:widowControl w:val="0"/>
        <w:spacing w:before="120" w:after="120" w:line="320" w:lineRule="exact"/>
        <w:ind w:firstLine="697"/>
        <w:jc w:val="both"/>
        <w:outlineLvl w:val="0"/>
      </w:pPr>
      <w:r w:rsidRPr="00F51E3C">
        <w:rPr>
          <w:b/>
          <w:lang w:val="pt-BR"/>
        </w:rPr>
        <w:t xml:space="preserve">IV. </w:t>
      </w:r>
      <w:r w:rsidR="004077FB" w:rsidRPr="00F51E3C">
        <w:rPr>
          <w:b/>
          <w:lang w:val="pt-BR"/>
        </w:rPr>
        <w:t xml:space="preserve">Về nguồn lực thi hành Nghị định: </w:t>
      </w:r>
      <w:r w:rsidR="006E5063" w:rsidRPr="00F51E3C">
        <w:rPr>
          <w:lang w:val="pt-BR"/>
        </w:rPr>
        <w:t>Quy định tại dự thảo Nghị định không làm phát sinh thêm nguồn lực từ phía cơ quan quản lý nhà nước, các đối tượng chịu tác động của Nghị định (doanh nghiệp phát hành, nhà đầu tư mua trái phiếu, Sở Giao dịch Chứng khoán, các tổ chức tư vấn phát hành, cung cấp dịch vụ về TPDN...).</w:t>
      </w:r>
    </w:p>
    <w:p w:rsidR="004077FB" w:rsidRPr="00F51E3C" w:rsidRDefault="006B225C" w:rsidP="00095C0A">
      <w:pPr>
        <w:widowControl w:val="0"/>
        <w:spacing w:before="120" w:after="120" w:line="320" w:lineRule="exact"/>
        <w:ind w:firstLine="697"/>
        <w:jc w:val="both"/>
        <w:outlineLvl w:val="0"/>
      </w:pPr>
      <w:r w:rsidRPr="00F51E3C">
        <w:rPr>
          <w:b/>
        </w:rPr>
        <w:t xml:space="preserve">V. Tính tương thích với các điều ước quốc tế: </w:t>
      </w:r>
      <w:r w:rsidR="00DB7F49" w:rsidRPr="00F51E3C">
        <w:t>Dự thảo Nghị định không có quy định trái với các điều ước quốc tế mà Việt Nam là thành viên.</w:t>
      </w:r>
      <w:r w:rsidR="00DB7F49" w:rsidRPr="00F51E3C">
        <w:rPr>
          <w:b/>
        </w:rPr>
        <w:t xml:space="preserve"> </w:t>
      </w:r>
      <w:r w:rsidR="00DB7F49" w:rsidRPr="00F51E3C">
        <w:t>Tại báo cáo thẩm định,</w:t>
      </w:r>
      <w:r w:rsidR="00DB7F49" w:rsidRPr="00F51E3C">
        <w:rPr>
          <w:b/>
        </w:rPr>
        <w:t xml:space="preserve"> </w:t>
      </w:r>
      <w:r w:rsidR="00765C74" w:rsidRPr="00F51E3C">
        <w:t>Bộ Tư pháp</w:t>
      </w:r>
      <w:r w:rsidR="00DB7F49" w:rsidRPr="00F51E3C">
        <w:t xml:space="preserve"> </w:t>
      </w:r>
      <w:r w:rsidR="00C82CE9" w:rsidRPr="00F51E3C">
        <w:t>cho rằng dự t</w:t>
      </w:r>
      <w:r w:rsidR="00765C74" w:rsidRPr="00F51E3C">
        <w:t xml:space="preserve">hảo Nghị định </w:t>
      </w:r>
      <w:r w:rsidR="009855A0" w:rsidRPr="00F51E3C">
        <w:t>không có nội dung trực tiếp trái với cam kết quốc tế mà Việt Nam là thành viên.</w:t>
      </w:r>
    </w:p>
    <w:p w:rsidR="00166B21" w:rsidRPr="00F51E3C" w:rsidRDefault="006B225C" w:rsidP="00095C0A">
      <w:pPr>
        <w:widowControl w:val="0"/>
        <w:spacing w:before="120" w:after="120" w:line="320" w:lineRule="exact"/>
        <w:ind w:firstLine="697"/>
        <w:jc w:val="both"/>
        <w:outlineLvl w:val="0"/>
        <w:rPr>
          <w:b/>
          <w:lang w:val="pt-BR"/>
        </w:rPr>
      </w:pPr>
      <w:r w:rsidRPr="00F51E3C">
        <w:rPr>
          <w:b/>
          <w:lang w:val="pt-BR"/>
        </w:rPr>
        <w:t xml:space="preserve">VI. </w:t>
      </w:r>
      <w:r w:rsidR="003971BC" w:rsidRPr="00F51E3C">
        <w:rPr>
          <w:b/>
          <w:lang w:val="pt-BR"/>
        </w:rPr>
        <w:t>Ý</w:t>
      </w:r>
      <w:r w:rsidR="00166B21" w:rsidRPr="00F51E3C">
        <w:rPr>
          <w:b/>
          <w:lang w:val="pt-BR"/>
        </w:rPr>
        <w:t xml:space="preserve"> kiến thẩm định của Bộ Tư pháp</w:t>
      </w:r>
    </w:p>
    <w:p w:rsidR="009A34B7" w:rsidRPr="00F51E3C" w:rsidRDefault="00ED1FB1" w:rsidP="00095C0A">
      <w:pPr>
        <w:widowControl w:val="0"/>
        <w:spacing w:before="120" w:after="120" w:line="320" w:lineRule="exact"/>
        <w:ind w:firstLine="709"/>
        <w:jc w:val="both"/>
        <w:rPr>
          <w:lang w:val="pt-BR"/>
        </w:rPr>
      </w:pPr>
      <w:r w:rsidRPr="00F51E3C">
        <w:rPr>
          <w:b/>
          <w:lang w:val="pt-BR"/>
        </w:rPr>
        <w:t>V</w:t>
      </w:r>
      <w:r w:rsidR="006B225C" w:rsidRPr="00F51E3C">
        <w:rPr>
          <w:b/>
          <w:lang w:val="pt-BR"/>
        </w:rPr>
        <w:t>II</w:t>
      </w:r>
      <w:r w:rsidRPr="00F51E3C">
        <w:rPr>
          <w:b/>
          <w:lang w:val="pt-BR"/>
        </w:rPr>
        <w:t xml:space="preserve">. Kiến nghị: </w:t>
      </w:r>
      <w:r w:rsidR="00DD7673" w:rsidRPr="00F51E3C">
        <w:rPr>
          <w:lang w:val="pt-BR"/>
        </w:rPr>
        <w:t xml:space="preserve">Bộ Tài chính trình Chính phủ </w:t>
      </w:r>
      <w:r w:rsidR="00281A07" w:rsidRPr="00F51E3C">
        <w:rPr>
          <w:lang w:val="pt-BR"/>
        </w:rPr>
        <w:t>xem xét</w:t>
      </w:r>
      <w:r w:rsidR="00DD7673" w:rsidRPr="00F51E3C">
        <w:rPr>
          <w:lang w:val="pt-BR"/>
        </w:rPr>
        <w:t xml:space="preserve"> ban hành Nghị định</w:t>
      </w:r>
      <w:r w:rsidR="00E53CA1" w:rsidRPr="00F51E3C">
        <w:rPr>
          <w:lang w:val="pt-BR"/>
        </w:rPr>
        <w:t xml:space="preserve"> </w:t>
      </w:r>
      <w:r w:rsidR="00FF5808" w:rsidRPr="00FF5808">
        <w:rPr>
          <w:lang w:val="pt-BR"/>
        </w:rPr>
        <w:t xml:space="preserve">sửa đổi Nghị định số 153/2020/NĐ-CP và </w:t>
      </w:r>
      <w:r w:rsidR="006E5063" w:rsidRPr="00F51E3C">
        <w:rPr>
          <w:lang w:val="pt-BR"/>
        </w:rPr>
        <w:t xml:space="preserve">sửa đổi, bổ sung </w:t>
      </w:r>
      <w:r w:rsidR="00092492">
        <w:rPr>
          <w:lang w:val="pt-BR"/>
        </w:rPr>
        <w:t>Nghị định số 65/2022/NĐ-CP</w:t>
      </w:r>
      <w:r w:rsidR="00DD7673" w:rsidRPr="00F51E3C">
        <w:rPr>
          <w:lang w:val="pt-BR"/>
        </w:rPr>
        <w:t>.</w:t>
      </w:r>
      <w:r w:rsidRPr="00F51E3C">
        <w:rPr>
          <w:lang w:val="pt-BR"/>
        </w:rPr>
        <w:t xml:space="preserve"> </w:t>
      </w:r>
    </w:p>
    <w:p w:rsidR="00C82CE9" w:rsidRPr="00F51E3C" w:rsidRDefault="00C82CE9" w:rsidP="00095C0A">
      <w:pPr>
        <w:widowControl w:val="0"/>
        <w:spacing w:before="120" w:after="120" w:line="320" w:lineRule="exact"/>
        <w:ind w:firstLine="709"/>
        <w:jc w:val="both"/>
        <w:rPr>
          <w:lang w:val="pt-BR"/>
        </w:rPr>
      </w:pPr>
      <w:r w:rsidRPr="00F51E3C">
        <w:rPr>
          <w:lang w:val="pt-BR"/>
        </w:rPr>
        <w:t xml:space="preserve">Hồ sơ trình bao gồm: </w:t>
      </w:r>
      <w:r w:rsidR="00527355" w:rsidRPr="00F51E3C">
        <w:rPr>
          <w:lang w:val="pt-BR"/>
        </w:rPr>
        <w:t>t</w:t>
      </w:r>
      <w:r w:rsidRPr="00F51E3C">
        <w:rPr>
          <w:lang w:val="pt-BR"/>
        </w:rPr>
        <w:t>ờ trình Chính phủ</w:t>
      </w:r>
      <w:r w:rsidR="00555EE2" w:rsidRPr="00F51E3C">
        <w:rPr>
          <w:lang w:val="pt-BR"/>
        </w:rPr>
        <w:t>;</w:t>
      </w:r>
      <w:r w:rsidRPr="00F51E3C">
        <w:rPr>
          <w:lang w:val="pt-BR"/>
        </w:rPr>
        <w:t xml:space="preserve"> dự thảo Nghị định sau khi tiếp thu ý kiến thẩm định của Bộ Tư pháp</w:t>
      </w:r>
      <w:r w:rsidR="00555EE2" w:rsidRPr="00F51E3C">
        <w:rPr>
          <w:lang w:val="pt-BR"/>
        </w:rPr>
        <w:t>;</w:t>
      </w:r>
      <w:r w:rsidRPr="00F51E3C">
        <w:rPr>
          <w:lang w:val="pt-BR"/>
        </w:rPr>
        <w:t xml:space="preserve"> báo cáo giải trình, tiếp thu ý kiến thẩm định</w:t>
      </w:r>
      <w:r w:rsidR="00527355" w:rsidRPr="00F51E3C">
        <w:rPr>
          <w:lang w:val="pt-BR"/>
        </w:rPr>
        <w:t xml:space="preserve"> của Bộ Tư pháp</w:t>
      </w:r>
      <w:r w:rsidR="00D76F8F">
        <w:rPr>
          <w:lang w:val="pt-BR"/>
        </w:rPr>
        <w:t>; báo cáo giải trình, tiếp thu ý kiến của các Bộ, ngành</w:t>
      </w:r>
      <w:r w:rsidRPr="00F51E3C">
        <w:rPr>
          <w:lang w:val="pt-BR"/>
        </w:rPr>
        <w:t>.</w:t>
      </w:r>
    </w:p>
    <w:p w:rsidR="0046406C" w:rsidRPr="00F51E3C" w:rsidRDefault="003B489F" w:rsidP="00095C0A">
      <w:pPr>
        <w:widowControl w:val="0"/>
        <w:spacing w:before="120" w:after="120" w:line="320" w:lineRule="exact"/>
        <w:ind w:firstLine="691"/>
        <w:jc w:val="both"/>
        <w:outlineLvl w:val="0"/>
        <w:rPr>
          <w:lang w:val="pt-BR"/>
        </w:rPr>
      </w:pPr>
      <w:r w:rsidRPr="00F51E3C">
        <w:rPr>
          <w:lang w:val="pt-BR"/>
        </w:rPr>
        <w:t>Bộ Tài chính</w:t>
      </w:r>
      <w:r w:rsidR="00DD7673" w:rsidRPr="00F51E3C">
        <w:rPr>
          <w:lang w:val="pt-BR"/>
        </w:rPr>
        <w:t xml:space="preserve"> kính</w:t>
      </w:r>
      <w:r w:rsidRPr="00F51E3C">
        <w:rPr>
          <w:lang w:val="pt-BR"/>
        </w:rPr>
        <w:t xml:space="preserve"> trình Chính phủ xem xét, </w:t>
      </w:r>
      <w:r w:rsidR="0046406C" w:rsidRPr="00F51E3C">
        <w:rPr>
          <w:lang w:val="pt-BR"/>
        </w:rPr>
        <w:t>quyết định./.</w:t>
      </w:r>
    </w:p>
    <w:tbl>
      <w:tblPr>
        <w:tblW w:w="8930" w:type="dxa"/>
        <w:tblInd w:w="250" w:type="dxa"/>
        <w:tblLayout w:type="fixed"/>
        <w:tblLook w:val="0000"/>
      </w:tblPr>
      <w:tblGrid>
        <w:gridCol w:w="5878"/>
        <w:gridCol w:w="3052"/>
      </w:tblGrid>
      <w:tr w:rsidR="00A30788" w:rsidRPr="00050CCB" w:rsidTr="00B24A8C">
        <w:tc>
          <w:tcPr>
            <w:tcW w:w="5878" w:type="dxa"/>
          </w:tcPr>
          <w:p w:rsidR="00A30788" w:rsidRPr="00810A61" w:rsidRDefault="00A30788" w:rsidP="00D91CBC">
            <w:pPr>
              <w:widowControl w:val="0"/>
              <w:rPr>
                <w:b/>
                <w:i/>
                <w:sz w:val="22"/>
                <w:szCs w:val="22"/>
                <w:lang w:val="af-ZA"/>
              </w:rPr>
            </w:pPr>
            <w:r w:rsidRPr="0049686C">
              <w:rPr>
                <w:b/>
                <w:i/>
                <w:sz w:val="24"/>
                <w:szCs w:val="22"/>
                <w:lang w:val="af-ZA"/>
              </w:rPr>
              <w:t>Nơi nhận:</w:t>
            </w:r>
          </w:p>
          <w:p w:rsidR="00A30788" w:rsidRPr="00810A61" w:rsidRDefault="00A30788" w:rsidP="00D91CBC">
            <w:pPr>
              <w:widowControl w:val="0"/>
              <w:rPr>
                <w:sz w:val="22"/>
                <w:szCs w:val="22"/>
                <w:lang w:val="af-ZA"/>
              </w:rPr>
            </w:pPr>
            <w:r w:rsidRPr="00810A61">
              <w:rPr>
                <w:sz w:val="22"/>
                <w:szCs w:val="22"/>
                <w:lang w:val="af-ZA"/>
              </w:rPr>
              <w:t xml:space="preserve">- </w:t>
            </w:r>
            <w:r>
              <w:rPr>
                <w:sz w:val="22"/>
                <w:szCs w:val="22"/>
                <w:lang w:val="af-ZA"/>
              </w:rPr>
              <w:t>Thủ tướng Ch</w:t>
            </w:r>
            <w:r w:rsidRPr="00473D43">
              <w:rPr>
                <w:sz w:val="22"/>
                <w:szCs w:val="22"/>
                <w:lang w:val="af-ZA"/>
              </w:rPr>
              <w:t>ính</w:t>
            </w:r>
            <w:r>
              <w:rPr>
                <w:sz w:val="22"/>
                <w:szCs w:val="22"/>
                <w:lang w:val="af-ZA"/>
              </w:rPr>
              <w:t xml:space="preserve"> ph</w:t>
            </w:r>
            <w:r w:rsidRPr="00473D43">
              <w:rPr>
                <w:sz w:val="22"/>
                <w:szCs w:val="22"/>
                <w:lang w:val="af-ZA"/>
              </w:rPr>
              <w:t>ủ</w:t>
            </w:r>
            <w:r>
              <w:rPr>
                <w:sz w:val="22"/>
                <w:szCs w:val="22"/>
                <w:lang w:val="af-ZA"/>
              </w:rPr>
              <w:t>;</w:t>
            </w:r>
          </w:p>
          <w:p w:rsidR="00A30788" w:rsidRDefault="00A30788" w:rsidP="00D91CBC">
            <w:pPr>
              <w:widowControl w:val="0"/>
              <w:rPr>
                <w:sz w:val="22"/>
                <w:szCs w:val="22"/>
                <w:lang w:val="af-ZA"/>
              </w:rPr>
            </w:pPr>
            <w:r w:rsidRPr="00810A61">
              <w:rPr>
                <w:sz w:val="22"/>
                <w:szCs w:val="22"/>
                <w:lang w:val="af-ZA"/>
              </w:rPr>
              <w:t>- Văn phòng Chính phủ;</w:t>
            </w:r>
          </w:p>
          <w:p w:rsidR="00A30788" w:rsidRDefault="00A30788" w:rsidP="00D91CBC">
            <w:pPr>
              <w:widowControl w:val="0"/>
              <w:rPr>
                <w:sz w:val="22"/>
                <w:szCs w:val="22"/>
                <w:lang w:val="af-ZA"/>
              </w:rPr>
            </w:pPr>
            <w:r>
              <w:rPr>
                <w:sz w:val="22"/>
                <w:szCs w:val="22"/>
                <w:lang w:val="af-ZA"/>
              </w:rPr>
              <w:t>- B</w:t>
            </w:r>
            <w:r w:rsidRPr="00473D43">
              <w:rPr>
                <w:sz w:val="22"/>
                <w:szCs w:val="22"/>
                <w:lang w:val="af-ZA"/>
              </w:rPr>
              <w:t>ộ</w:t>
            </w:r>
            <w:r>
              <w:rPr>
                <w:sz w:val="22"/>
                <w:szCs w:val="22"/>
                <w:lang w:val="af-ZA"/>
              </w:rPr>
              <w:t xml:space="preserve"> T</w:t>
            </w:r>
            <w:r w:rsidRPr="00473D43">
              <w:rPr>
                <w:sz w:val="22"/>
                <w:szCs w:val="22"/>
                <w:lang w:val="af-ZA"/>
              </w:rPr>
              <w:t>ư</w:t>
            </w:r>
            <w:r>
              <w:rPr>
                <w:sz w:val="22"/>
                <w:szCs w:val="22"/>
                <w:lang w:val="af-ZA"/>
              </w:rPr>
              <w:t xml:space="preserve"> ph</w:t>
            </w:r>
            <w:r w:rsidRPr="00473D43">
              <w:rPr>
                <w:sz w:val="22"/>
                <w:szCs w:val="22"/>
                <w:lang w:val="af-ZA"/>
              </w:rPr>
              <w:t>áp</w:t>
            </w:r>
            <w:r>
              <w:rPr>
                <w:sz w:val="22"/>
                <w:szCs w:val="22"/>
                <w:lang w:val="af-ZA"/>
              </w:rPr>
              <w:t>;</w:t>
            </w:r>
          </w:p>
          <w:p w:rsidR="00A30788" w:rsidRPr="00810A61" w:rsidRDefault="00A30788" w:rsidP="00A64447">
            <w:pPr>
              <w:widowControl w:val="0"/>
              <w:rPr>
                <w:b/>
                <w:i/>
                <w:sz w:val="22"/>
                <w:szCs w:val="22"/>
                <w:lang w:val="af-ZA"/>
              </w:rPr>
            </w:pPr>
            <w:r w:rsidRPr="00810A61">
              <w:rPr>
                <w:sz w:val="22"/>
                <w:szCs w:val="22"/>
                <w:lang w:val="af-ZA"/>
              </w:rPr>
              <w:t>- Lưu: VT, Vụ TCNH</w:t>
            </w:r>
            <w:r w:rsidR="007076E8">
              <w:rPr>
                <w:sz w:val="22"/>
                <w:szCs w:val="22"/>
                <w:lang w:val="af-ZA"/>
              </w:rPr>
              <w:t xml:space="preserve"> </w:t>
            </w:r>
            <w:r w:rsidR="007076E8" w:rsidRPr="00A64447">
              <w:rPr>
                <w:sz w:val="24"/>
                <w:szCs w:val="24"/>
                <w:vertAlign w:val="subscript"/>
                <w:lang w:val="af-ZA"/>
              </w:rPr>
              <w:t>(</w:t>
            </w:r>
            <w:r w:rsidR="0018035C" w:rsidRPr="00A64447">
              <w:rPr>
                <w:sz w:val="24"/>
                <w:szCs w:val="24"/>
                <w:vertAlign w:val="subscript"/>
                <w:lang w:val="af-ZA"/>
              </w:rPr>
              <w:t>1</w:t>
            </w:r>
            <w:r w:rsidR="00A64447" w:rsidRPr="00A64447">
              <w:rPr>
                <w:sz w:val="24"/>
                <w:szCs w:val="24"/>
                <w:vertAlign w:val="subscript"/>
                <w:lang w:val="af-ZA"/>
              </w:rPr>
              <w:t>0</w:t>
            </w:r>
            <w:r w:rsidR="007076E8" w:rsidRPr="00A64447">
              <w:rPr>
                <w:sz w:val="24"/>
                <w:szCs w:val="24"/>
                <w:vertAlign w:val="subscript"/>
                <w:lang w:val="af-ZA"/>
              </w:rPr>
              <w:t>b)</w:t>
            </w:r>
            <w:r w:rsidR="00A64447" w:rsidRPr="00A64447">
              <w:rPr>
                <w:sz w:val="24"/>
                <w:szCs w:val="24"/>
                <w:vertAlign w:val="subscript"/>
                <w:lang w:val="af-ZA"/>
              </w:rPr>
              <w:t>.</w:t>
            </w:r>
          </w:p>
        </w:tc>
        <w:tc>
          <w:tcPr>
            <w:tcW w:w="3052" w:type="dxa"/>
          </w:tcPr>
          <w:p w:rsidR="00A30788" w:rsidRPr="00C9721C" w:rsidRDefault="00A30788" w:rsidP="00090272">
            <w:pPr>
              <w:widowControl w:val="0"/>
              <w:spacing w:before="120" w:after="120"/>
              <w:jc w:val="center"/>
              <w:rPr>
                <w:b/>
                <w:sz w:val="26"/>
                <w:lang w:val="af-ZA"/>
              </w:rPr>
            </w:pPr>
            <w:r w:rsidRPr="00C9721C">
              <w:rPr>
                <w:b/>
                <w:sz w:val="26"/>
                <w:lang w:val="af-ZA"/>
              </w:rPr>
              <w:t>BỘ TRƯỞNG</w:t>
            </w:r>
          </w:p>
          <w:p w:rsidR="00B24A8C" w:rsidRPr="00090272" w:rsidRDefault="00B24A8C" w:rsidP="00090272">
            <w:pPr>
              <w:widowControl w:val="0"/>
              <w:spacing w:before="120" w:after="120"/>
              <w:jc w:val="center"/>
              <w:rPr>
                <w:b/>
                <w:lang w:val="af-ZA"/>
              </w:rPr>
            </w:pPr>
          </w:p>
          <w:p w:rsidR="004043B5" w:rsidRDefault="004043B5" w:rsidP="00090272">
            <w:pPr>
              <w:widowControl w:val="0"/>
              <w:spacing w:before="120" w:after="120"/>
              <w:jc w:val="center"/>
              <w:rPr>
                <w:b/>
                <w:lang w:val="af-ZA"/>
              </w:rPr>
            </w:pPr>
          </w:p>
          <w:p w:rsidR="000B0F7F" w:rsidRDefault="000B0F7F" w:rsidP="00090272">
            <w:pPr>
              <w:widowControl w:val="0"/>
              <w:spacing w:before="120" w:after="120"/>
              <w:jc w:val="center"/>
              <w:rPr>
                <w:b/>
                <w:lang w:val="af-ZA"/>
              </w:rPr>
            </w:pPr>
          </w:p>
          <w:p w:rsidR="0090512A" w:rsidRPr="00090272" w:rsidRDefault="0090512A" w:rsidP="00090272">
            <w:pPr>
              <w:widowControl w:val="0"/>
              <w:spacing w:before="120" w:after="120"/>
              <w:jc w:val="center"/>
              <w:rPr>
                <w:b/>
                <w:lang w:val="af-ZA"/>
              </w:rPr>
            </w:pPr>
          </w:p>
          <w:p w:rsidR="00A30788" w:rsidRPr="00E16C98" w:rsidRDefault="006E5063" w:rsidP="00090272">
            <w:pPr>
              <w:widowControl w:val="0"/>
              <w:spacing w:before="120" w:after="120"/>
              <w:jc w:val="center"/>
              <w:rPr>
                <w:b/>
                <w:lang w:val="af-ZA"/>
              </w:rPr>
            </w:pPr>
            <w:r>
              <w:rPr>
                <w:b/>
                <w:lang w:val="af-ZA"/>
              </w:rPr>
              <w:t>Hồ Đức Phớc</w:t>
            </w:r>
          </w:p>
        </w:tc>
      </w:tr>
    </w:tbl>
    <w:p w:rsidR="00A30788" w:rsidRPr="000D3BC0" w:rsidRDefault="00A30788" w:rsidP="00C240CD">
      <w:pPr>
        <w:widowControl w:val="0"/>
        <w:spacing w:before="120" w:after="120" w:line="360" w:lineRule="exact"/>
        <w:ind w:firstLine="720"/>
        <w:jc w:val="both"/>
        <w:rPr>
          <w:lang w:val="vi-VN"/>
        </w:rPr>
      </w:pPr>
    </w:p>
    <w:sectPr w:rsidR="00A30788" w:rsidRPr="000D3BC0" w:rsidSect="00DD571F">
      <w:headerReference w:type="default" r:id="rId8"/>
      <w:footerReference w:type="even" r:id="rId9"/>
      <w:pgSz w:w="11907" w:h="16840" w:code="9"/>
      <w:pgMar w:top="1418" w:right="1134" w:bottom="1418" w:left="1701" w:header="720" w:footer="22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69B" w:rsidRDefault="00DA769B">
      <w:r>
        <w:separator/>
      </w:r>
    </w:p>
  </w:endnote>
  <w:endnote w:type="continuationSeparator" w:id="0">
    <w:p w:rsidR="00DA769B" w:rsidRDefault="00DA7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Palatino">
    <w:altName w:val="Arial"/>
    <w:panose1 w:val="00000000000000000000"/>
    <w:charset w:val="00"/>
    <w:family w:val="swiss"/>
    <w:notTrueType/>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9B" w:rsidRDefault="00615942" w:rsidP="00C72402">
    <w:pPr>
      <w:pStyle w:val="Footer"/>
      <w:framePr w:wrap="around" w:vAnchor="text" w:hAnchor="margin" w:xAlign="center" w:y="1"/>
      <w:rPr>
        <w:rStyle w:val="PageNumber"/>
      </w:rPr>
    </w:pPr>
    <w:r>
      <w:rPr>
        <w:rStyle w:val="PageNumber"/>
      </w:rPr>
      <w:fldChar w:fldCharType="begin"/>
    </w:r>
    <w:r w:rsidR="00DA769B">
      <w:rPr>
        <w:rStyle w:val="PageNumber"/>
      </w:rPr>
      <w:instrText xml:space="preserve">PAGE  </w:instrText>
    </w:r>
    <w:r>
      <w:rPr>
        <w:rStyle w:val="PageNumber"/>
      </w:rPr>
      <w:fldChar w:fldCharType="end"/>
    </w:r>
  </w:p>
  <w:p w:rsidR="00DA769B" w:rsidRDefault="00DA7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69B" w:rsidRDefault="00DA769B">
      <w:r>
        <w:separator/>
      </w:r>
    </w:p>
  </w:footnote>
  <w:footnote w:type="continuationSeparator" w:id="0">
    <w:p w:rsidR="00DA769B" w:rsidRDefault="00DA769B">
      <w:r>
        <w:continuationSeparator/>
      </w:r>
    </w:p>
  </w:footnote>
  <w:footnote w:id="1">
    <w:p w:rsidR="00DA769B" w:rsidRDefault="00DA769B" w:rsidP="00130151">
      <w:pPr>
        <w:pStyle w:val="FootnoteText"/>
        <w:jc w:val="both"/>
      </w:pPr>
      <w:r w:rsidRPr="009F6CBA">
        <w:rPr>
          <w:rStyle w:val="FootnoteReference"/>
        </w:rPr>
        <w:footnoteRef/>
      </w:r>
      <w:r w:rsidRPr="009F6CBA">
        <w:t xml:space="preserve"> </w:t>
      </w:r>
      <w:r w:rsidRPr="00262210">
        <w:t xml:space="preserve">Khối lượng phát hành TPDN quý I là đạt 134,8 nghìn tỷ đồng, quý II là 122,4 nghìn tỷ đồng, quý III là 65,9 nghìn tỷ đồng; về mua lại, khối lượng trái phiếu mua lại trước hạn đến </w:t>
      </w:r>
      <w:r w:rsidR="00262210" w:rsidRPr="00262210">
        <w:t>ngày 25/12</w:t>
      </w:r>
      <w:r w:rsidRPr="00262210">
        <w:t xml:space="preserve">/2022 là </w:t>
      </w:r>
      <w:r w:rsidR="00262210">
        <w:t>193,8</w:t>
      </w:r>
      <w:r w:rsidRPr="00262210">
        <w:t xml:space="preserve"> nghìn tỷ đồng, tăng </w:t>
      </w:r>
      <w:r w:rsidR="00262210">
        <w:t>38,3</w:t>
      </w:r>
      <w:r w:rsidRPr="00262210">
        <w:t xml:space="preserve">% so với </w:t>
      </w:r>
      <w:r w:rsidR="00262210">
        <w:t>cả</w:t>
      </w:r>
      <w:r w:rsidRPr="00262210">
        <w:t xml:space="preserve"> năm 2021.</w:t>
      </w:r>
      <w:r w:rsidRPr="009F6CBA">
        <w:t xml:space="preserve"> </w:t>
      </w:r>
    </w:p>
  </w:footnote>
  <w:footnote w:id="2">
    <w:p w:rsidR="00DA769B" w:rsidRPr="00B6351A" w:rsidRDefault="00DA769B" w:rsidP="00130151">
      <w:pPr>
        <w:pStyle w:val="FootnoteText"/>
        <w:jc w:val="both"/>
      </w:pPr>
      <w:r w:rsidRPr="009F6CBA">
        <w:rPr>
          <w:rStyle w:val="FootnoteReference"/>
        </w:rPr>
        <w:footnoteRef/>
      </w:r>
      <w:r w:rsidRPr="009F6CBA">
        <w:t xml:space="preserve"> NHNN đã điều chỉnh lãi suất 2 lần, với tổng mức tăng là 2% </w:t>
      </w:r>
      <w:r>
        <w:t>; đồng thời nâng tỷ giá VND/USD</w:t>
      </w:r>
      <w:r w:rsidRPr="009F6CBA">
        <w:t>; trên thị trường tiền tệ, lãi suất huy động tiền gửi đã tăng lên mức 8 – 9% đối với kỳ hạn 12 tháng (có ngân hàng huy động 11%)</w:t>
      </w:r>
      <w:r>
        <w:t>. Lãi suất NHNN cho vay qua thị trường mở là 6% với kỳ hạn 7 ngày (</w:t>
      </w:r>
      <w:r w:rsidRPr="00DB0DDF">
        <w:t>tăng 3,5% so với đầu năm).</w:t>
      </w:r>
      <w:r>
        <w:t xml:space="preserve"> </w:t>
      </w:r>
      <w:r w:rsidRPr="00DB0DDF">
        <w:t>Lãi suất cho vay liên ngân hàng kỳ hạn qua đêm có thời điểm tăng lên mức 8,35% và thanh khoản bị thiếu hụt cục</w:t>
      </w:r>
      <w:r>
        <w:t xml:space="preserve"> bộ, các NHTM lớn không cho vay NHTM nhỏ, nếu cho vay thì với tài sản bảo đảm ở mức chiết khấu cao và chỉ cho vay tới 7 ngày</w:t>
      </w:r>
      <w:r w:rsidRPr="009F6CBA">
        <w:t>, lãi suất cho vay của các TCTD lên trên 1</w:t>
      </w:r>
      <w:r>
        <w:t>4</w:t>
      </w:r>
      <w:r w:rsidRPr="009F6CBA">
        <w:t>%</w:t>
      </w:r>
      <w:r>
        <w:t xml:space="preserve">. </w:t>
      </w:r>
      <w:r w:rsidRPr="002B37E5">
        <w:t>Ngày 17/10/2022, NHNN nâng biên độ tỷ giá giao ngay VND/USD của các NHTM lên 5% (từ mức 3% trước đây) so với tỷ giá trung tâm; ngày 24/10/2022, NHNN tăng tỷ giá bán ngoại tệ lên 24.870 VND/USD (tăng khoảng 7,42% so với đầu năm, gồm 6 lần điều chỉnh tăng)</w:t>
      </w:r>
      <w:r>
        <w:t>; t</w:t>
      </w:r>
      <w:r w:rsidRPr="002B37E5">
        <w:t>ỷ giá tham khảo ở VCB ở mức 24.722 - 24.872 VND/USD (tăng 8,5% so với đầu năm)</w:t>
      </w:r>
      <w:r>
        <w:t>. M</w:t>
      </w:r>
      <w:r>
        <w:rPr>
          <w:vertAlign w:val="subscript"/>
        </w:rPr>
        <w:t>2</w:t>
      </w:r>
      <w:r>
        <w:t xml:space="preserve"> tăng bằng ½ so với năm ngoái.</w:t>
      </w:r>
    </w:p>
  </w:footnote>
  <w:footnote w:id="3">
    <w:p w:rsidR="00DA769B" w:rsidRDefault="00DA769B" w:rsidP="008911BC">
      <w:pPr>
        <w:pStyle w:val="FootnoteText"/>
        <w:jc w:val="both"/>
      </w:pPr>
      <w:r w:rsidRPr="00AB0A2D">
        <w:rPr>
          <w:rStyle w:val="FootnoteReference"/>
        </w:rPr>
        <w:footnoteRef/>
      </w:r>
      <w:r w:rsidRPr="00AB0A2D">
        <w:t xml:space="preserve"> </w:t>
      </w:r>
      <w:r w:rsidRPr="00141700">
        <w:t>Thông báo số 339/TB-VPCP ngày 28/10/2022</w:t>
      </w:r>
      <w:r>
        <w:t xml:space="preserve">: </w:t>
      </w:r>
      <w:r w:rsidRPr="0076603A">
        <w:t>Thường trực Chính phủ chỉ đạo: “</w:t>
      </w:r>
      <w:r w:rsidRPr="0076603A">
        <w:rPr>
          <w:i/>
        </w:rPr>
        <w:t>Bộ Tài chính chủ trì, phối hợp với các Bộ, cơ quan liên quan nghiên cứu, rà soát, đề xuất việc sửa đổi, bổ sung Nghị định số 65/2022/NĐ-CP sửa đổi, bổ sung một số điều của Nghị định số 153/2020/NĐ-CP quy định về chào bán, giao dịch trái phiếu doanh nghiệp riêng lẻ tại thị trường trong nước và chào bán trái phiếu doanh nghiệp ra thị trường quốc tế, báo cáo Thủ tướng Chính phủ trước ngày 10/11/2022</w:t>
      </w:r>
      <w:r w:rsidRPr="0076603A">
        <w:t>”</w:t>
      </w:r>
      <w:r>
        <w:t xml:space="preserve">; </w:t>
      </w:r>
    </w:p>
    <w:p w:rsidR="00DA769B" w:rsidRDefault="00DA769B" w:rsidP="008911BC">
      <w:pPr>
        <w:pStyle w:val="FootnoteText"/>
        <w:jc w:val="both"/>
      </w:pPr>
      <w:r>
        <w:t xml:space="preserve">- </w:t>
      </w:r>
      <w:r w:rsidRPr="00141700">
        <w:t>Thông báo số 141/TB-VPCP ngày 19/11/2022</w:t>
      </w:r>
      <w:r>
        <w:t>: Thường trực Chính phủ giao: “</w:t>
      </w:r>
      <w:r w:rsidRPr="006B5D85">
        <w:rPr>
          <w:i/>
        </w:rPr>
        <w:t>Bộ Tài chính tập trung triển khai thực hiện và khẩn trương đánh giá, rà soát kỹ, đề xuất việc sửa đổi Nghị định số 65, kịp thời tháo gỡ khó khăn, vướng mắc, ổn định và phát triển lành mạnh, an toàn, hiệu quả thị trường TPDN, báo cáo Chính phủ trước ngày 22/11/2022; tinh thần chung là tăng cường trách nhiệm quản lý nhà nước và bảo vệ quyền, lợi ích hợp pháp, chính đáng của người dân theo pháp luật</w:t>
      </w:r>
      <w:r>
        <w:rPr>
          <w:i/>
        </w:rPr>
        <w:t>”</w:t>
      </w:r>
      <w:r>
        <w:t>;</w:t>
      </w:r>
    </w:p>
    <w:p w:rsidR="00DA769B" w:rsidRPr="00AB0A2D" w:rsidRDefault="00DA769B" w:rsidP="008911BC">
      <w:pPr>
        <w:pStyle w:val="FootnoteText"/>
        <w:jc w:val="both"/>
      </w:pPr>
      <w:r>
        <w:t xml:space="preserve">- </w:t>
      </w:r>
      <w:r w:rsidRPr="00141700">
        <w:t>Thông báo số 142/TB-VPCP ngày 20/11/2022</w:t>
      </w:r>
      <w:r>
        <w:t xml:space="preserve">: </w:t>
      </w:r>
      <w:r w:rsidRPr="00602B2A">
        <w:t>Phó Thủ tướng Chính phủ giao</w:t>
      </w:r>
      <w:r>
        <w:t>: “</w:t>
      </w:r>
      <w:r w:rsidRPr="00602B2A">
        <w:rPr>
          <w:i/>
        </w:rPr>
        <w:t>về việc sửa đổi, bổ sung Nghị định số 65: Bộ Tài chính chủ trì, phối hợp nghiên cứu, đánh giá tác động, phân tích tình hình để đề xuất, báo cáo Thủ tướng Chính phủ theo kết luận tại cuộc họp Thường trực Chính phủ ngày 15/11/2022</w:t>
      </w:r>
      <w:r>
        <w:rPr>
          <w:i/>
        </w:rPr>
        <w:t>”.</w:t>
      </w:r>
    </w:p>
  </w:footnote>
  <w:footnote w:id="4">
    <w:p w:rsidR="00DA769B" w:rsidRDefault="00DA769B" w:rsidP="0072178C">
      <w:pPr>
        <w:pStyle w:val="FootnoteText"/>
        <w:jc w:val="both"/>
      </w:pPr>
      <w:r>
        <w:rPr>
          <w:rStyle w:val="FootnoteReference"/>
        </w:rPr>
        <w:footnoteRef/>
      </w:r>
      <w:r>
        <w:t xml:space="preserve"> NHNN đề nghị hạn chế giao dịch trái phiếu trên thị trường thứ cấp đối với nhà đầu tư không chuyên nghiệp và bổ sung quy định về trách nhiệm của đại lý quản lý tài sản bảo đảm (Công văn số 8851/NHNN-CSTT ngày 15/12/2022); Bộ KHĐT đề nghị bổ sung điều kiện chào bán trái phiếu với công ty chưa đại chúng (Công văn số 9439/BKHĐT-TCTT ngày 23/12/2022); UBND tỉnh Quảng Ninh đề nghị bổ sung điều kiện phát hành, UBND cấp tỉnh thanh kiểm tra trái phiếu và người đại diện theo pháp luật của doanh nghiệp phải bồi hoàn bằng tiền nếu sử dụng vốn không đúng mục đích, trái pháp luật (Công văn số 6017/UBND-TM4 ngày 25/11/2022).</w:t>
      </w:r>
    </w:p>
  </w:footnote>
  <w:footnote w:id="5">
    <w:p w:rsidR="00DA769B" w:rsidRDefault="00DA769B" w:rsidP="00605E00">
      <w:pPr>
        <w:pStyle w:val="FootnoteText"/>
        <w:jc w:val="both"/>
      </w:pPr>
      <w:r>
        <w:rPr>
          <w:rStyle w:val="FootnoteReference"/>
        </w:rPr>
        <w:footnoteRef/>
      </w:r>
      <w:r>
        <w:t xml:space="preserve"> Khoản </w:t>
      </w:r>
      <w:r w:rsidRPr="00DC522F">
        <w:t>2 Điều 19 và khoản 3 Điều 310 Nghị định số 155/2020/NĐ-CP</w:t>
      </w:r>
      <w:r>
        <w:t xml:space="preserve"> quy định các trường hợp chào bán TPDN ra công chúng phải xếp hạng tín nhiệm gồm: (i) Tổng giá trị trái phiếu huy động trong mỗi 12 tháng lớn hơn 500 tỷ đồng và lớn hơn 50% vốn chủ sở hữu; hoặc (ii) Tổng dư nợ trái phiếu lớn hơn 100% vốn chủ sở hữu. Thời gian áp dụng là từ ngày 01/1/2023.</w:t>
      </w:r>
    </w:p>
  </w:footnote>
  <w:footnote w:id="6">
    <w:p w:rsidR="00DA769B" w:rsidRDefault="00DA769B" w:rsidP="00605E00">
      <w:pPr>
        <w:pStyle w:val="FootnoteText"/>
        <w:jc w:val="both"/>
      </w:pPr>
      <w:r>
        <w:rPr>
          <w:rStyle w:val="FootnoteReference"/>
        </w:rPr>
        <w:footnoteRef/>
      </w:r>
      <w:r>
        <w:t xml:space="preserve"> Theo Quyết định số 507/QĐ-TTg ngày 17/4/2015 của TTCP, đến năm 2030 xem xét cấp phép cho tối đa 5 doanh nghiệp cung cấp dịch vụ xếp hạng tín nhiệm. Hiện nay, Bộ Tài chính đã cấp phép cho 02 doanh nghiệp và đang phối hợp với các Bộ, ngành để rà soát, thẩm định hồ sơ cấp phép đối với các doanh nghiệp khác theo quy định.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9B" w:rsidRPr="006D6924" w:rsidRDefault="00615942">
    <w:pPr>
      <w:pStyle w:val="Header"/>
      <w:jc w:val="center"/>
      <w:rPr>
        <w:sz w:val="24"/>
      </w:rPr>
    </w:pPr>
    <w:r w:rsidRPr="006D6924">
      <w:rPr>
        <w:sz w:val="24"/>
      </w:rPr>
      <w:fldChar w:fldCharType="begin"/>
    </w:r>
    <w:r w:rsidR="00DA769B" w:rsidRPr="006D6924">
      <w:rPr>
        <w:sz w:val="24"/>
      </w:rPr>
      <w:instrText xml:space="preserve"> PAGE   \* MERGEFORMAT </w:instrText>
    </w:r>
    <w:r w:rsidRPr="006D6924">
      <w:rPr>
        <w:sz w:val="24"/>
      </w:rPr>
      <w:fldChar w:fldCharType="separate"/>
    </w:r>
    <w:r w:rsidR="00262210">
      <w:rPr>
        <w:noProof/>
        <w:sz w:val="24"/>
      </w:rPr>
      <w:t>3</w:t>
    </w:r>
    <w:r w:rsidRPr="006D6924">
      <w:rPr>
        <w:sz w:val="24"/>
      </w:rPr>
      <w:fldChar w:fldCharType="end"/>
    </w:r>
  </w:p>
  <w:p w:rsidR="00DA769B" w:rsidRDefault="00DA7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51"/>
    <w:multiLevelType w:val="hybridMultilevel"/>
    <w:tmpl w:val="CBD64F7A"/>
    <w:lvl w:ilvl="0" w:tplc="DE0AA3C2">
      <w:start w:val="1"/>
      <w:numFmt w:val="upperRoman"/>
      <w:lvlText w:val="%1."/>
      <w:lvlJc w:val="left"/>
      <w:pPr>
        <w:ind w:left="1627" w:hanging="93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nsid w:val="0CC04CED"/>
    <w:multiLevelType w:val="hybridMultilevel"/>
    <w:tmpl w:val="8B26AC1C"/>
    <w:lvl w:ilvl="0" w:tplc="56626516">
      <w:start w:val="1"/>
      <w:numFmt w:val="decimal"/>
      <w:lvlText w:val="%1."/>
      <w:lvlJc w:val="left"/>
      <w:pPr>
        <w:ind w:left="1702" w:hanging="1005"/>
      </w:pPr>
      <w:rPr>
        <w:rFonts w:hint="default"/>
        <w:b/>
        <w:color w:val="auto"/>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
    <w:nsid w:val="17D62AC7"/>
    <w:multiLevelType w:val="hybridMultilevel"/>
    <w:tmpl w:val="66EE2A9E"/>
    <w:lvl w:ilvl="0" w:tplc="27BCE0E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nsid w:val="216023FF"/>
    <w:multiLevelType w:val="hybridMultilevel"/>
    <w:tmpl w:val="D7F67872"/>
    <w:lvl w:ilvl="0" w:tplc="AB80D758">
      <w:start w:val="1"/>
      <w:numFmt w:val="decimal"/>
      <w:lvlText w:val="%1."/>
      <w:lvlJc w:val="left"/>
      <w:pPr>
        <w:ind w:left="1057" w:hanging="360"/>
      </w:pPr>
      <w:rPr>
        <w:rFonts w:hint="default"/>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nsid w:val="31F254B3"/>
    <w:multiLevelType w:val="hybridMultilevel"/>
    <w:tmpl w:val="7EA27392"/>
    <w:lvl w:ilvl="0" w:tplc="118A3A06">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5">
    <w:nsid w:val="374B0529"/>
    <w:multiLevelType w:val="hybridMultilevel"/>
    <w:tmpl w:val="7472CFB8"/>
    <w:lvl w:ilvl="0" w:tplc="624C7910">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nsid w:val="3FF72A55"/>
    <w:multiLevelType w:val="hybridMultilevel"/>
    <w:tmpl w:val="9FF28FB6"/>
    <w:lvl w:ilvl="0" w:tplc="CD88503E">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7">
    <w:nsid w:val="403905C5"/>
    <w:multiLevelType w:val="hybridMultilevel"/>
    <w:tmpl w:val="E4726B28"/>
    <w:lvl w:ilvl="0" w:tplc="6E96F85E">
      <w:start w:val="1"/>
      <w:numFmt w:val="decimal"/>
      <w:lvlText w:val="%1."/>
      <w:lvlJc w:val="left"/>
      <w:pPr>
        <w:ind w:left="1057" w:hanging="360"/>
      </w:pPr>
      <w:rPr>
        <w:rFonts w:hint="default"/>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nsid w:val="5956054B"/>
    <w:multiLevelType w:val="hybridMultilevel"/>
    <w:tmpl w:val="24EE0782"/>
    <w:lvl w:ilvl="0" w:tplc="783CF706">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9">
    <w:nsid w:val="681E0626"/>
    <w:multiLevelType w:val="hybridMultilevel"/>
    <w:tmpl w:val="016CEA32"/>
    <w:lvl w:ilvl="0" w:tplc="62D64A04">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0">
    <w:nsid w:val="6BAA366E"/>
    <w:multiLevelType w:val="hybridMultilevel"/>
    <w:tmpl w:val="98EC2EE6"/>
    <w:lvl w:ilvl="0" w:tplc="F0940FC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1">
    <w:nsid w:val="7F983866"/>
    <w:multiLevelType w:val="multilevel"/>
    <w:tmpl w:val="B35EC4C2"/>
    <w:lvl w:ilvl="0">
      <w:start w:val="1"/>
      <w:numFmt w:val="decimal"/>
      <w:lvlText w:val="%1"/>
      <w:lvlJc w:val="left"/>
      <w:pPr>
        <w:ind w:left="375" w:hanging="375"/>
      </w:pPr>
      <w:rPr>
        <w:rFonts w:hint="default"/>
      </w:rPr>
    </w:lvl>
    <w:lvl w:ilvl="1">
      <w:start w:val="1"/>
      <w:numFmt w:val="decimal"/>
      <w:lvlText w:val="%1.%2"/>
      <w:lvlJc w:val="left"/>
      <w:pPr>
        <w:ind w:left="1072" w:hanging="375"/>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num w:numId="1">
    <w:abstractNumId w:val="2"/>
  </w:num>
  <w:num w:numId="2">
    <w:abstractNumId w:val="6"/>
  </w:num>
  <w:num w:numId="3">
    <w:abstractNumId w:val="11"/>
  </w:num>
  <w:num w:numId="4">
    <w:abstractNumId w:val="5"/>
  </w:num>
  <w:num w:numId="5">
    <w:abstractNumId w:val="10"/>
  </w:num>
  <w:num w:numId="6">
    <w:abstractNumId w:val="9"/>
  </w:num>
  <w:num w:numId="7">
    <w:abstractNumId w:val="3"/>
  </w:num>
  <w:num w:numId="8">
    <w:abstractNumId w:val="7"/>
  </w:num>
  <w:num w:numId="9">
    <w:abstractNumId w:val="0"/>
  </w:num>
  <w:num w:numId="10">
    <w:abstractNumId w:val="8"/>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rsids>
    <w:rsidRoot w:val="00A1500F"/>
    <w:rsid w:val="000001F5"/>
    <w:rsid w:val="00000934"/>
    <w:rsid w:val="00002D3E"/>
    <w:rsid w:val="000032A7"/>
    <w:rsid w:val="00003EA9"/>
    <w:rsid w:val="00004ED5"/>
    <w:rsid w:val="000053C8"/>
    <w:rsid w:val="00006B6F"/>
    <w:rsid w:val="00006D1B"/>
    <w:rsid w:val="0000722D"/>
    <w:rsid w:val="00007261"/>
    <w:rsid w:val="00007514"/>
    <w:rsid w:val="000100A7"/>
    <w:rsid w:val="0001039E"/>
    <w:rsid w:val="000106F5"/>
    <w:rsid w:val="00012D51"/>
    <w:rsid w:val="00012DC7"/>
    <w:rsid w:val="00017A6A"/>
    <w:rsid w:val="00017CEF"/>
    <w:rsid w:val="0002020E"/>
    <w:rsid w:val="000205DB"/>
    <w:rsid w:val="000219A9"/>
    <w:rsid w:val="00021CE1"/>
    <w:rsid w:val="00022A0D"/>
    <w:rsid w:val="00025CEC"/>
    <w:rsid w:val="00025E2F"/>
    <w:rsid w:val="00026520"/>
    <w:rsid w:val="000269FC"/>
    <w:rsid w:val="00026EAB"/>
    <w:rsid w:val="00027743"/>
    <w:rsid w:val="000277D0"/>
    <w:rsid w:val="0003155C"/>
    <w:rsid w:val="00032995"/>
    <w:rsid w:val="000333C0"/>
    <w:rsid w:val="0003416E"/>
    <w:rsid w:val="00034231"/>
    <w:rsid w:val="00035824"/>
    <w:rsid w:val="00035900"/>
    <w:rsid w:val="00035DF9"/>
    <w:rsid w:val="0003697C"/>
    <w:rsid w:val="000405A7"/>
    <w:rsid w:val="0004092A"/>
    <w:rsid w:val="000413B2"/>
    <w:rsid w:val="00041750"/>
    <w:rsid w:val="0004238B"/>
    <w:rsid w:val="000429C1"/>
    <w:rsid w:val="000431A5"/>
    <w:rsid w:val="00044548"/>
    <w:rsid w:val="000469B8"/>
    <w:rsid w:val="00047040"/>
    <w:rsid w:val="000470D7"/>
    <w:rsid w:val="00050CCB"/>
    <w:rsid w:val="000529A3"/>
    <w:rsid w:val="00053C50"/>
    <w:rsid w:val="00054EC8"/>
    <w:rsid w:val="000558CD"/>
    <w:rsid w:val="00056970"/>
    <w:rsid w:val="00057A48"/>
    <w:rsid w:val="00060617"/>
    <w:rsid w:val="000606BC"/>
    <w:rsid w:val="00061171"/>
    <w:rsid w:val="000616A1"/>
    <w:rsid w:val="00061981"/>
    <w:rsid w:val="00062D64"/>
    <w:rsid w:val="000644E7"/>
    <w:rsid w:val="00064B1F"/>
    <w:rsid w:val="00065089"/>
    <w:rsid w:val="0006517D"/>
    <w:rsid w:val="00065F87"/>
    <w:rsid w:val="0006628A"/>
    <w:rsid w:val="0006652A"/>
    <w:rsid w:val="00066861"/>
    <w:rsid w:val="00066F75"/>
    <w:rsid w:val="0006766A"/>
    <w:rsid w:val="000677E4"/>
    <w:rsid w:val="00067D88"/>
    <w:rsid w:val="00070702"/>
    <w:rsid w:val="00070B26"/>
    <w:rsid w:val="00070C04"/>
    <w:rsid w:val="00070D9C"/>
    <w:rsid w:val="00070F37"/>
    <w:rsid w:val="000717C8"/>
    <w:rsid w:val="00071CC6"/>
    <w:rsid w:val="00071CDC"/>
    <w:rsid w:val="0007236B"/>
    <w:rsid w:val="00072708"/>
    <w:rsid w:val="0007319D"/>
    <w:rsid w:val="0007344F"/>
    <w:rsid w:val="00073833"/>
    <w:rsid w:val="0007462C"/>
    <w:rsid w:val="00075668"/>
    <w:rsid w:val="00075A3E"/>
    <w:rsid w:val="00075E1E"/>
    <w:rsid w:val="00075F72"/>
    <w:rsid w:val="000774B3"/>
    <w:rsid w:val="00077691"/>
    <w:rsid w:val="00077AC4"/>
    <w:rsid w:val="00077E07"/>
    <w:rsid w:val="00080528"/>
    <w:rsid w:val="000811A5"/>
    <w:rsid w:val="00081C81"/>
    <w:rsid w:val="00081FE8"/>
    <w:rsid w:val="0008237D"/>
    <w:rsid w:val="00082864"/>
    <w:rsid w:val="0008286F"/>
    <w:rsid w:val="00084C66"/>
    <w:rsid w:val="00085530"/>
    <w:rsid w:val="00086DD2"/>
    <w:rsid w:val="00087956"/>
    <w:rsid w:val="00090023"/>
    <w:rsid w:val="00090272"/>
    <w:rsid w:val="00090E1C"/>
    <w:rsid w:val="00090FA8"/>
    <w:rsid w:val="000910BE"/>
    <w:rsid w:val="00091C3D"/>
    <w:rsid w:val="00092492"/>
    <w:rsid w:val="00092541"/>
    <w:rsid w:val="00092722"/>
    <w:rsid w:val="00092DEE"/>
    <w:rsid w:val="00093564"/>
    <w:rsid w:val="00094A7F"/>
    <w:rsid w:val="0009530A"/>
    <w:rsid w:val="00095337"/>
    <w:rsid w:val="00095531"/>
    <w:rsid w:val="00095774"/>
    <w:rsid w:val="00095813"/>
    <w:rsid w:val="00095819"/>
    <w:rsid w:val="000959F6"/>
    <w:rsid w:val="00095C0A"/>
    <w:rsid w:val="00096A3F"/>
    <w:rsid w:val="000977AE"/>
    <w:rsid w:val="000A03E3"/>
    <w:rsid w:val="000A0911"/>
    <w:rsid w:val="000A1AEC"/>
    <w:rsid w:val="000A2624"/>
    <w:rsid w:val="000A3CAA"/>
    <w:rsid w:val="000A4002"/>
    <w:rsid w:val="000A4839"/>
    <w:rsid w:val="000A49C9"/>
    <w:rsid w:val="000A53C3"/>
    <w:rsid w:val="000A5406"/>
    <w:rsid w:val="000A54AC"/>
    <w:rsid w:val="000A55DD"/>
    <w:rsid w:val="000A5FFA"/>
    <w:rsid w:val="000A65E3"/>
    <w:rsid w:val="000A6D5D"/>
    <w:rsid w:val="000A78DA"/>
    <w:rsid w:val="000B006D"/>
    <w:rsid w:val="000B0F7F"/>
    <w:rsid w:val="000B37C7"/>
    <w:rsid w:val="000B37F8"/>
    <w:rsid w:val="000B38BC"/>
    <w:rsid w:val="000B4A9E"/>
    <w:rsid w:val="000B4E06"/>
    <w:rsid w:val="000B552A"/>
    <w:rsid w:val="000B658F"/>
    <w:rsid w:val="000B6639"/>
    <w:rsid w:val="000B6CB9"/>
    <w:rsid w:val="000B7B48"/>
    <w:rsid w:val="000C0FCF"/>
    <w:rsid w:val="000C168B"/>
    <w:rsid w:val="000C197E"/>
    <w:rsid w:val="000C28A7"/>
    <w:rsid w:val="000C2934"/>
    <w:rsid w:val="000C293E"/>
    <w:rsid w:val="000C29B4"/>
    <w:rsid w:val="000C2D04"/>
    <w:rsid w:val="000C2F0F"/>
    <w:rsid w:val="000C2F90"/>
    <w:rsid w:val="000C3573"/>
    <w:rsid w:val="000C4B08"/>
    <w:rsid w:val="000C51DE"/>
    <w:rsid w:val="000C632A"/>
    <w:rsid w:val="000C6A5A"/>
    <w:rsid w:val="000D0CAA"/>
    <w:rsid w:val="000D0E81"/>
    <w:rsid w:val="000D102D"/>
    <w:rsid w:val="000D1D28"/>
    <w:rsid w:val="000D27EE"/>
    <w:rsid w:val="000D3093"/>
    <w:rsid w:val="000D3BC0"/>
    <w:rsid w:val="000D3DB2"/>
    <w:rsid w:val="000D3E95"/>
    <w:rsid w:val="000D42E1"/>
    <w:rsid w:val="000D52F8"/>
    <w:rsid w:val="000D5AE6"/>
    <w:rsid w:val="000D6E84"/>
    <w:rsid w:val="000E0348"/>
    <w:rsid w:val="000E16A0"/>
    <w:rsid w:val="000E1874"/>
    <w:rsid w:val="000E1932"/>
    <w:rsid w:val="000E264F"/>
    <w:rsid w:val="000E2F4E"/>
    <w:rsid w:val="000E7199"/>
    <w:rsid w:val="000E71CF"/>
    <w:rsid w:val="000E7C85"/>
    <w:rsid w:val="000E7F78"/>
    <w:rsid w:val="000F0530"/>
    <w:rsid w:val="000F0A40"/>
    <w:rsid w:val="000F385D"/>
    <w:rsid w:val="000F3A92"/>
    <w:rsid w:val="000F4CB1"/>
    <w:rsid w:val="000F52F3"/>
    <w:rsid w:val="000F5DDF"/>
    <w:rsid w:val="000F6E4B"/>
    <w:rsid w:val="000F77E3"/>
    <w:rsid w:val="000F7D36"/>
    <w:rsid w:val="0010035F"/>
    <w:rsid w:val="001003EC"/>
    <w:rsid w:val="00100878"/>
    <w:rsid w:val="00100B31"/>
    <w:rsid w:val="001010DC"/>
    <w:rsid w:val="0010146F"/>
    <w:rsid w:val="00101FFA"/>
    <w:rsid w:val="0010250E"/>
    <w:rsid w:val="001026F5"/>
    <w:rsid w:val="00102EF5"/>
    <w:rsid w:val="00103616"/>
    <w:rsid w:val="0010387E"/>
    <w:rsid w:val="00103E24"/>
    <w:rsid w:val="00104883"/>
    <w:rsid w:val="00104D41"/>
    <w:rsid w:val="00104E8E"/>
    <w:rsid w:val="00104FF8"/>
    <w:rsid w:val="0010656E"/>
    <w:rsid w:val="001065A3"/>
    <w:rsid w:val="00106999"/>
    <w:rsid w:val="00106C44"/>
    <w:rsid w:val="00106C9D"/>
    <w:rsid w:val="00106CDA"/>
    <w:rsid w:val="00106FD5"/>
    <w:rsid w:val="00107866"/>
    <w:rsid w:val="00107A01"/>
    <w:rsid w:val="00107B5F"/>
    <w:rsid w:val="00107C20"/>
    <w:rsid w:val="00107D23"/>
    <w:rsid w:val="00111E06"/>
    <w:rsid w:val="001122EC"/>
    <w:rsid w:val="001125B1"/>
    <w:rsid w:val="001127DB"/>
    <w:rsid w:val="00112D33"/>
    <w:rsid w:val="00113CBF"/>
    <w:rsid w:val="001140D8"/>
    <w:rsid w:val="001141AA"/>
    <w:rsid w:val="001152B1"/>
    <w:rsid w:val="001159C8"/>
    <w:rsid w:val="00115D77"/>
    <w:rsid w:val="001169B1"/>
    <w:rsid w:val="001202A8"/>
    <w:rsid w:val="00120C34"/>
    <w:rsid w:val="001210E7"/>
    <w:rsid w:val="0012113B"/>
    <w:rsid w:val="0012175B"/>
    <w:rsid w:val="001218BF"/>
    <w:rsid w:val="00122966"/>
    <w:rsid w:val="0012392F"/>
    <w:rsid w:val="00123A03"/>
    <w:rsid w:val="0012546F"/>
    <w:rsid w:val="00125F36"/>
    <w:rsid w:val="001261FF"/>
    <w:rsid w:val="00126AD1"/>
    <w:rsid w:val="00126EF0"/>
    <w:rsid w:val="00127953"/>
    <w:rsid w:val="00127D48"/>
    <w:rsid w:val="0013005A"/>
    <w:rsid w:val="00130151"/>
    <w:rsid w:val="00130B5A"/>
    <w:rsid w:val="00132506"/>
    <w:rsid w:val="00132955"/>
    <w:rsid w:val="00132DD1"/>
    <w:rsid w:val="00133991"/>
    <w:rsid w:val="00133D1B"/>
    <w:rsid w:val="00134FB6"/>
    <w:rsid w:val="0013531B"/>
    <w:rsid w:val="001353F2"/>
    <w:rsid w:val="001355C7"/>
    <w:rsid w:val="00135FA0"/>
    <w:rsid w:val="00136F59"/>
    <w:rsid w:val="00136FB3"/>
    <w:rsid w:val="00137440"/>
    <w:rsid w:val="00137C45"/>
    <w:rsid w:val="00137C7F"/>
    <w:rsid w:val="0014005F"/>
    <w:rsid w:val="00140AFB"/>
    <w:rsid w:val="00141700"/>
    <w:rsid w:val="0014199A"/>
    <w:rsid w:val="00142A12"/>
    <w:rsid w:val="00142AB3"/>
    <w:rsid w:val="00142BA6"/>
    <w:rsid w:val="00143289"/>
    <w:rsid w:val="001437C6"/>
    <w:rsid w:val="00145962"/>
    <w:rsid w:val="00145B55"/>
    <w:rsid w:val="0014656F"/>
    <w:rsid w:val="001501A5"/>
    <w:rsid w:val="0015116E"/>
    <w:rsid w:val="001516D8"/>
    <w:rsid w:val="00151EA5"/>
    <w:rsid w:val="0015222A"/>
    <w:rsid w:val="00152517"/>
    <w:rsid w:val="00153217"/>
    <w:rsid w:val="00153AD2"/>
    <w:rsid w:val="00154052"/>
    <w:rsid w:val="0015437D"/>
    <w:rsid w:val="001553F8"/>
    <w:rsid w:val="00155A8A"/>
    <w:rsid w:val="00155BCD"/>
    <w:rsid w:val="00156085"/>
    <w:rsid w:val="0015625B"/>
    <w:rsid w:val="001570BB"/>
    <w:rsid w:val="0015754E"/>
    <w:rsid w:val="00157C6D"/>
    <w:rsid w:val="001604CF"/>
    <w:rsid w:val="001613F1"/>
    <w:rsid w:val="0016320C"/>
    <w:rsid w:val="0016346C"/>
    <w:rsid w:val="00163A33"/>
    <w:rsid w:val="00164604"/>
    <w:rsid w:val="00164E94"/>
    <w:rsid w:val="0016596D"/>
    <w:rsid w:val="00166B21"/>
    <w:rsid w:val="00167226"/>
    <w:rsid w:val="00167C05"/>
    <w:rsid w:val="00170216"/>
    <w:rsid w:val="00171940"/>
    <w:rsid w:val="00172193"/>
    <w:rsid w:val="0017256B"/>
    <w:rsid w:val="001728E2"/>
    <w:rsid w:val="001736AC"/>
    <w:rsid w:val="001738A3"/>
    <w:rsid w:val="00174A84"/>
    <w:rsid w:val="001757F4"/>
    <w:rsid w:val="00175CC4"/>
    <w:rsid w:val="00175E02"/>
    <w:rsid w:val="0018035C"/>
    <w:rsid w:val="0018048A"/>
    <w:rsid w:val="00180EC9"/>
    <w:rsid w:val="00180FE8"/>
    <w:rsid w:val="001815B8"/>
    <w:rsid w:val="00181749"/>
    <w:rsid w:val="00182025"/>
    <w:rsid w:val="00182B2A"/>
    <w:rsid w:val="00182EFB"/>
    <w:rsid w:val="00184662"/>
    <w:rsid w:val="00185DB0"/>
    <w:rsid w:val="00186633"/>
    <w:rsid w:val="00186BDF"/>
    <w:rsid w:val="00186EA5"/>
    <w:rsid w:val="001872D6"/>
    <w:rsid w:val="00187862"/>
    <w:rsid w:val="00190736"/>
    <w:rsid w:val="00194B4F"/>
    <w:rsid w:val="00194C8A"/>
    <w:rsid w:val="001974A1"/>
    <w:rsid w:val="00197D8D"/>
    <w:rsid w:val="001A00EE"/>
    <w:rsid w:val="001A0150"/>
    <w:rsid w:val="001A0372"/>
    <w:rsid w:val="001A042F"/>
    <w:rsid w:val="001A050E"/>
    <w:rsid w:val="001A09E5"/>
    <w:rsid w:val="001A0B12"/>
    <w:rsid w:val="001A155C"/>
    <w:rsid w:val="001A1E3B"/>
    <w:rsid w:val="001A1FBF"/>
    <w:rsid w:val="001A2793"/>
    <w:rsid w:val="001A28B6"/>
    <w:rsid w:val="001A2FB4"/>
    <w:rsid w:val="001A45E7"/>
    <w:rsid w:val="001A4999"/>
    <w:rsid w:val="001A55FB"/>
    <w:rsid w:val="001A5C4C"/>
    <w:rsid w:val="001A60E3"/>
    <w:rsid w:val="001A65AB"/>
    <w:rsid w:val="001A6FE0"/>
    <w:rsid w:val="001A7BCE"/>
    <w:rsid w:val="001B146F"/>
    <w:rsid w:val="001B1D55"/>
    <w:rsid w:val="001B27F2"/>
    <w:rsid w:val="001B285F"/>
    <w:rsid w:val="001B2E37"/>
    <w:rsid w:val="001B3005"/>
    <w:rsid w:val="001B31E2"/>
    <w:rsid w:val="001B45AD"/>
    <w:rsid w:val="001B5EE4"/>
    <w:rsid w:val="001B6242"/>
    <w:rsid w:val="001B692A"/>
    <w:rsid w:val="001B6CAA"/>
    <w:rsid w:val="001B7DC6"/>
    <w:rsid w:val="001B7FEB"/>
    <w:rsid w:val="001C014C"/>
    <w:rsid w:val="001C0892"/>
    <w:rsid w:val="001C0B46"/>
    <w:rsid w:val="001C13D4"/>
    <w:rsid w:val="001C174C"/>
    <w:rsid w:val="001C1990"/>
    <w:rsid w:val="001C1B93"/>
    <w:rsid w:val="001C22E0"/>
    <w:rsid w:val="001C24BC"/>
    <w:rsid w:val="001C2612"/>
    <w:rsid w:val="001C2D7C"/>
    <w:rsid w:val="001C2EEF"/>
    <w:rsid w:val="001C3AE7"/>
    <w:rsid w:val="001C3BF5"/>
    <w:rsid w:val="001C4521"/>
    <w:rsid w:val="001C4B5A"/>
    <w:rsid w:val="001D00ED"/>
    <w:rsid w:val="001D027D"/>
    <w:rsid w:val="001D072B"/>
    <w:rsid w:val="001D0860"/>
    <w:rsid w:val="001D1885"/>
    <w:rsid w:val="001D2535"/>
    <w:rsid w:val="001D2D68"/>
    <w:rsid w:val="001D375F"/>
    <w:rsid w:val="001D3D87"/>
    <w:rsid w:val="001D448C"/>
    <w:rsid w:val="001D4FCA"/>
    <w:rsid w:val="001E01A4"/>
    <w:rsid w:val="001E043B"/>
    <w:rsid w:val="001E13F4"/>
    <w:rsid w:val="001E3692"/>
    <w:rsid w:val="001E4CCF"/>
    <w:rsid w:val="001E4CD4"/>
    <w:rsid w:val="001E4DA8"/>
    <w:rsid w:val="001E5345"/>
    <w:rsid w:val="001E5679"/>
    <w:rsid w:val="001E67CF"/>
    <w:rsid w:val="001E72BE"/>
    <w:rsid w:val="001E7804"/>
    <w:rsid w:val="001E7A04"/>
    <w:rsid w:val="001E7E83"/>
    <w:rsid w:val="001F08E2"/>
    <w:rsid w:val="001F1AD4"/>
    <w:rsid w:val="001F1D0A"/>
    <w:rsid w:val="001F1F36"/>
    <w:rsid w:val="001F1F8D"/>
    <w:rsid w:val="001F2DCE"/>
    <w:rsid w:val="001F32C4"/>
    <w:rsid w:val="001F34E5"/>
    <w:rsid w:val="001F3640"/>
    <w:rsid w:val="001F3764"/>
    <w:rsid w:val="001F48DC"/>
    <w:rsid w:val="001F4ACE"/>
    <w:rsid w:val="001F557F"/>
    <w:rsid w:val="001F5588"/>
    <w:rsid w:val="001F5CEA"/>
    <w:rsid w:val="001F5DE1"/>
    <w:rsid w:val="001F60C8"/>
    <w:rsid w:val="001F6BDF"/>
    <w:rsid w:val="001F73D3"/>
    <w:rsid w:val="001F74FC"/>
    <w:rsid w:val="001F7640"/>
    <w:rsid w:val="001F7B93"/>
    <w:rsid w:val="001F7BCA"/>
    <w:rsid w:val="00200013"/>
    <w:rsid w:val="00200CF2"/>
    <w:rsid w:val="00200EFB"/>
    <w:rsid w:val="0020354E"/>
    <w:rsid w:val="0020441A"/>
    <w:rsid w:val="00204DEC"/>
    <w:rsid w:val="00204E3E"/>
    <w:rsid w:val="00205316"/>
    <w:rsid w:val="00205959"/>
    <w:rsid w:val="00205BB9"/>
    <w:rsid w:val="002074F2"/>
    <w:rsid w:val="00207861"/>
    <w:rsid w:val="002100C1"/>
    <w:rsid w:val="002106DD"/>
    <w:rsid w:val="00210B67"/>
    <w:rsid w:val="00210DC1"/>
    <w:rsid w:val="00210E80"/>
    <w:rsid w:val="00211134"/>
    <w:rsid w:val="002111D6"/>
    <w:rsid w:val="0021158B"/>
    <w:rsid w:val="00212979"/>
    <w:rsid w:val="00212A21"/>
    <w:rsid w:val="00212A3F"/>
    <w:rsid w:val="00213BED"/>
    <w:rsid w:val="00213CEE"/>
    <w:rsid w:val="00214652"/>
    <w:rsid w:val="00214FB9"/>
    <w:rsid w:val="002159ED"/>
    <w:rsid w:val="00216040"/>
    <w:rsid w:val="00217037"/>
    <w:rsid w:val="002174C8"/>
    <w:rsid w:val="00220240"/>
    <w:rsid w:val="0022024A"/>
    <w:rsid w:val="002209D5"/>
    <w:rsid w:val="00220C1C"/>
    <w:rsid w:val="002217DF"/>
    <w:rsid w:val="00222B8A"/>
    <w:rsid w:val="00222E40"/>
    <w:rsid w:val="002236B7"/>
    <w:rsid w:val="00223BE0"/>
    <w:rsid w:val="002244D6"/>
    <w:rsid w:val="00224639"/>
    <w:rsid w:val="002246B1"/>
    <w:rsid w:val="00224891"/>
    <w:rsid w:val="00224D5F"/>
    <w:rsid w:val="00225029"/>
    <w:rsid w:val="00225A15"/>
    <w:rsid w:val="00226271"/>
    <w:rsid w:val="00226680"/>
    <w:rsid w:val="00226B7D"/>
    <w:rsid w:val="00226BE7"/>
    <w:rsid w:val="002324FF"/>
    <w:rsid w:val="00232CCD"/>
    <w:rsid w:val="00233083"/>
    <w:rsid w:val="002330ED"/>
    <w:rsid w:val="00233A7F"/>
    <w:rsid w:val="00233E5B"/>
    <w:rsid w:val="00233F95"/>
    <w:rsid w:val="00234D33"/>
    <w:rsid w:val="00234DC8"/>
    <w:rsid w:val="00234E9B"/>
    <w:rsid w:val="00235147"/>
    <w:rsid w:val="0023672D"/>
    <w:rsid w:val="00240484"/>
    <w:rsid w:val="00240979"/>
    <w:rsid w:val="00240A85"/>
    <w:rsid w:val="00240BFC"/>
    <w:rsid w:val="00241C15"/>
    <w:rsid w:val="00241DE2"/>
    <w:rsid w:val="00242752"/>
    <w:rsid w:val="0024304A"/>
    <w:rsid w:val="00243957"/>
    <w:rsid w:val="00243D69"/>
    <w:rsid w:val="00244216"/>
    <w:rsid w:val="002446C8"/>
    <w:rsid w:val="00244A2C"/>
    <w:rsid w:val="00244D7A"/>
    <w:rsid w:val="00244E10"/>
    <w:rsid w:val="00244F24"/>
    <w:rsid w:val="00245A02"/>
    <w:rsid w:val="00246596"/>
    <w:rsid w:val="00246C1A"/>
    <w:rsid w:val="00246D23"/>
    <w:rsid w:val="00246D54"/>
    <w:rsid w:val="002476C8"/>
    <w:rsid w:val="00247C68"/>
    <w:rsid w:val="002504D2"/>
    <w:rsid w:val="00250822"/>
    <w:rsid w:val="00250976"/>
    <w:rsid w:val="002511D7"/>
    <w:rsid w:val="0025167A"/>
    <w:rsid w:val="00251DAD"/>
    <w:rsid w:val="00252464"/>
    <w:rsid w:val="00253A84"/>
    <w:rsid w:val="00254042"/>
    <w:rsid w:val="00255FA4"/>
    <w:rsid w:val="0025601C"/>
    <w:rsid w:val="002571EC"/>
    <w:rsid w:val="00257B07"/>
    <w:rsid w:val="002608AB"/>
    <w:rsid w:val="00260BAC"/>
    <w:rsid w:val="00261E09"/>
    <w:rsid w:val="00262210"/>
    <w:rsid w:val="0026288C"/>
    <w:rsid w:val="002628C1"/>
    <w:rsid w:val="00263CED"/>
    <w:rsid w:val="00263DEB"/>
    <w:rsid w:val="00265826"/>
    <w:rsid w:val="00265B65"/>
    <w:rsid w:val="00265C9E"/>
    <w:rsid w:val="00265CDF"/>
    <w:rsid w:val="00265FE5"/>
    <w:rsid w:val="00266600"/>
    <w:rsid w:val="0026712A"/>
    <w:rsid w:val="002702E5"/>
    <w:rsid w:val="00270A67"/>
    <w:rsid w:val="00270C2F"/>
    <w:rsid w:val="00271CFA"/>
    <w:rsid w:val="00271DE1"/>
    <w:rsid w:val="002723FC"/>
    <w:rsid w:val="0027275A"/>
    <w:rsid w:val="00272DA2"/>
    <w:rsid w:val="00273D62"/>
    <w:rsid w:val="00274161"/>
    <w:rsid w:val="0027417F"/>
    <w:rsid w:val="00276040"/>
    <w:rsid w:val="00276BC6"/>
    <w:rsid w:val="0028006D"/>
    <w:rsid w:val="00281737"/>
    <w:rsid w:val="00281A07"/>
    <w:rsid w:val="00281E90"/>
    <w:rsid w:val="00282A2E"/>
    <w:rsid w:val="00283C96"/>
    <w:rsid w:val="0028440D"/>
    <w:rsid w:val="00284A82"/>
    <w:rsid w:val="0028679F"/>
    <w:rsid w:val="00286DB7"/>
    <w:rsid w:val="00287367"/>
    <w:rsid w:val="0028767F"/>
    <w:rsid w:val="002876CD"/>
    <w:rsid w:val="00287D39"/>
    <w:rsid w:val="0029022F"/>
    <w:rsid w:val="00291109"/>
    <w:rsid w:val="0029168F"/>
    <w:rsid w:val="00292410"/>
    <w:rsid w:val="00292C45"/>
    <w:rsid w:val="0029347F"/>
    <w:rsid w:val="002942C4"/>
    <w:rsid w:val="00294AF2"/>
    <w:rsid w:val="0029535E"/>
    <w:rsid w:val="00295792"/>
    <w:rsid w:val="002960D6"/>
    <w:rsid w:val="0029634E"/>
    <w:rsid w:val="002968B0"/>
    <w:rsid w:val="00296FD4"/>
    <w:rsid w:val="00297144"/>
    <w:rsid w:val="002976A6"/>
    <w:rsid w:val="002A06B9"/>
    <w:rsid w:val="002A106F"/>
    <w:rsid w:val="002A2283"/>
    <w:rsid w:val="002A2890"/>
    <w:rsid w:val="002A2A49"/>
    <w:rsid w:val="002A2B59"/>
    <w:rsid w:val="002A2DE8"/>
    <w:rsid w:val="002A31DE"/>
    <w:rsid w:val="002A3EB6"/>
    <w:rsid w:val="002A4611"/>
    <w:rsid w:val="002A6062"/>
    <w:rsid w:val="002A62D2"/>
    <w:rsid w:val="002A7E6F"/>
    <w:rsid w:val="002B0B94"/>
    <w:rsid w:val="002B0C46"/>
    <w:rsid w:val="002B155A"/>
    <w:rsid w:val="002B1A73"/>
    <w:rsid w:val="002B1D9F"/>
    <w:rsid w:val="002B241D"/>
    <w:rsid w:val="002B2FF8"/>
    <w:rsid w:val="002B42A7"/>
    <w:rsid w:val="002B4ECC"/>
    <w:rsid w:val="002B4FCE"/>
    <w:rsid w:val="002B4FE3"/>
    <w:rsid w:val="002B54C0"/>
    <w:rsid w:val="002B5CF7"/>
    <w:rsid w:val="002B60B3"/>
    <w:rsid w:val="002B65B0"/>
    <w:rsid w:val="002B6F8F"/>
    <w:rsid w:val="002B7ABA"/>
    <w:rsid w:val="002C0571"/>
    <w:rsid w:val="002C0B94"/>
    <w:rsid w:val="002C1FAF"/>
    <w:rsid w:val="002C28EA"/>
    <w:rsid w:val="002C2952"/>
    <w:rsid w:val="002C2F5F"/>
    <w:rsid w:val="002C3788"/>
    <w:rsid w:val="002C3B1C"/>
    <w:rsid w:val="002C4DAD"/>
    <w:rsid w:val="002C5354"/>
    <w:rsid w:val="002C5AAD"/>
    <w:rsid w:val="002C699B"/>
    <w:rsid w:val="002C6BB9"/>
    <w:rsid w:val="002C746A"/>
    <w:rsid w:val="002C756D"/>
    <w:rsid w:val="002C7965"/>
    <w:rsid w:val="002C7D6C"/>
    <w:rsid w:val="002D0411"/>
    <w:rsid w:val="002D0B52"/>
    <w:rsid w:val="002D0F27"/>
    <w:rsid w:val="002D11DB"/>
    <w:rsid w:val="002D1C0E"/>
    <w:rsid w:val="002D1CD4"/>
    <w:rsid w:val="002D1CE9"/>
    <w:rsid w:val="002D1FD1"/>
    <w:rsid w:val="002D255F"/>
    <w:rsid w:val="002D28B3"/>
    <w:rsid w:val="002D31BF"/>
    <w:rsid w:val="002D4204"/>
    <w:rsid w:val="002D6E57"/>
    <w:rsid w:val="002E01DA"/>
    <w:rsid w:val="002E05C0"/>
    <w:rsid w:val="002E06A8"/>
    <w:rsid w:val="002E1DD7"/>
    <w:rsid w:val="002E2672"/>
    <w:rsid w:val="002E3343"/>
    <w:rsid w:val="002E42F7"/>
    <w:rsid w:val="002E5806"/>
    <w:rsid w:val="002E5F42"/>
    <w:rsid w:val="002E6081"/>
    <w:rsid w:val="002E71A1"/>
    <w:rsid w:val="002F14D3"/>
    <w:rsid w:val="002F2779"/>
    <w:rsid w:val="002F4C8C"/>
    <w:rsid w:val="002F53EC"/>
    <w:rsid w:val="002F55C2"/>
    <w:rsid w:val="002F6366"/>
    <w:rsid w:val="002F6983"/>
    <w:rsid w:val="002F6EEF"/>
    <w:rsid w:val="002F6F58"/>
    <w:rsid w:val="002F7796"/>
    <w:rsid w:val="002F7C15"/>
    <w:rsid w:val="003005A2"/>
    <w:rsid w:val="00300B7C"/>
    <w:rsid w:val="00300BE4"/>
    <w:rsid w:val="00300C1B"/>
    <w:rsid w:val="00302DCA"/>
    <w:rsid w:val="00302E4A"/>
    <w:rsid w:val="00304198"/>
    <w:rsid w:val="003042EC"/>
    <w:rsid w:val="00304E94"/>
    <w:rsid w:val="003060DB"/>
    <w:rsid w:val="00306C0F"/>
    <w:rsid w:val="00307149"/>
    <w:rsid w:val="003100C3"/>
    <w:rsid w:val="003118B4"/>
    <w:rsid w:val="00311ADC"/>
    <w:rsid w:val="00311C7B"/>
    <w:rsid w:val="00311DD6"/>
    <w:rsid w:val="00312165"/>
    <w:rsid w:val="003139B2"/>
    <w:rsid w:val="00313C06"/>
    <w:rsid w:val="00314C05"/>
    <w:rsid w:val="00315260"/>
    <w:rsid w:val="00315296"/>
    <w:rsid w:val="00315693"/>
    <w:rsid w:val="00315F1F"/>
    <w:rsid w:val="00316030"/>
    <w:rsid w:val="00317D27"/>
    <w:rsid w:val="0032071B"/>
    <w:rsid w:val="00320964"/>
    <w:rsid w:val="003209C6"/>
    <w:rsid w:val="0032161D"/>
    <w:rsid w:val="00321A27"/>
    <w:rsid w:val="00322575"/>
    <w:rsid w:val="00322943"/>
    <w:rsid w:val="00322E6A"/>
    <w:rsid w:val="003244B0"/>
    <w:rsid w:val="00324D32"/>
    <w:rsid w:val="00325287"/>
    <w:rsid w:val="0032536C"/>
    <w:rsid w:val="00325617"/>
    <w:rsid w:val="00325F61"/>
    <w:rsid w:val="00326272"/>
    <w:rsid w:val="003263B5"/>
    <w:rsid w:val="003264DC"/>
    <w:rsid w:val="00327998"/>
    <w:rsid w:val="00327B81"/>
    <w:rsid w:val="00331196"/>
    <w:rsid w:val="0033237B"/>
    <w:rsid w:val="0033244D"/>
    <w:rsid w:val="00333641"/>
    <w:rsid w:val="003338DB"/>
    <w:rsid w:val="00333B7D"/>
    <w:rsid w:val="00334A06"/>
    <w:rsid w:val="00335DF1"/>
    <w:rsid w:val="00336431"/>
    <w:rsid w:val="00337903"/>
    <w:rsid w:val="003379EF"/>
    <w:rsid w:val="00340FAA"/>
    <w:rsid w:val="00340FB9"/>
    <w:rsid w:val="0034126C"/>
    <w:rsid w:val="0034195F"/>
    <w:rsid w:val="00341AB9"/>
    <w:rsid w:val="003423BD"/>
    <w:rsid w:val="00342EA7"/>
    <w:rsid w:val="00343796"/>
    <w:rsid w:val="00345A43"/>
    <w:rsid w:val="00345F77"/>
    <w:rsid w:val="00347503"/>
    <w:rsid w:val="00350084"/>
    <w:rsid w:val="00350199"/>
    <w:rsid w:val="0035180F"/>
    <w:rsid w:val="00351DE2"/>
    <w:rsid w:val="00352330"/>
    <w:rsid w:val="0035330D"/>
    <w:rsid w:val="0035345E"/>
    <w:rsid w:val="00353793"/>
    <w:rsid w:val="00353F81"/>
    <w:rsid w:val="00356381"/>
    <w:rsid w:val="00356D16"/>
    <w:rsid w:val="00356D47"/>
    <w:rsid w:val="0035774B"/>
    <w:rsid w:val="003578C1"/>
    <w:rsid w:val="00357C9E"/>
    <w:rsid w:val="003606E5"/>
    <w:rsid w:val="0036133A"/>
    <w:rsid w:val="00361950"/>
    <w:rsid w:val="00362532"/>
    <w:rsid w:val="0036289A"/>
    <w:rsid w:val="00362CCB"/>
    <w:rsid w:val="00362E96"/>
    <w:rsid w:val="00363485"/>
    <w:rsid w:val="00363610"/>
    <w:rsid w:val="003645B8"/>
    <w:rsid w:val="00365CD6"/>
    <w:rsid w:val="00367A74"/>
    <w:rsid w:val="00367BB6"/>
    <w:rsid w:val="00370AF0"/>
    <w:rsid w:val="00371B44"/>
    <w:rsid w:val="00371D51"/>
    <w:rsid w:val="00371ED7"/>
    <w:rsid w:val="00372655"/>
    <w:rsid w:val="003729C5"/>
    <w:rsid w:val="00372F3A"/>
    <w:rsid w:val="00373648"/>
    <w:rsid w:val="00374178"/>
    <w:rsid w:val="00374298"/>
    <w:rsid w:val="00375A7D"/>
    <w:rsid w:val="00376B28"/>
    <w:rsid w:val="003772C7"/>
    <w:rsid w:val="003774BE"/>
    <w:rsid w:val="00377AD5"/>
    <w:rsid w:val="00377EDE"/>
    <w:rsid w:val="0038047B"/>
    <w:rsid w:val="00380908"/>
    <w:rsid w:val="00380AA1"/>
    <w:rsid w:val="00380C38"/>
    <w:rsid w:val="00380E59"/>
    <w:rsid w:val="003815EE"/>
    <w:rsid w:val="00383A28"/>
    <w:rsid w:val="00383D09"/>
    <w:rsid w:val="003856CF"/>
    <w:rsid w:val="00387A0C"/>
    <w:rsid w:val="00390244"/>
    <w:rsid w:val="00390C2A"/>
    <w:rsid w:val="0039188A"/>
    <w:rsid w:val="003918D9"/>
    <w:rsid w:val="00391FBA"/>
    <w:rsid w:val="00392D9F"/>
    <w:rsid w:val="003932FA"/>
    <w:rsid w:val="00394392"/>
    <w:rsid w:val="00394624"/>
    <w:rsid w:val="00394AC9"/>
    <w:rsid w:val="00394D07"/>
    <w:rsid w:val="00395674"/>
    <w:rsid w:val="00396A3F"/>
    <w:rsid w:val="00396FE1"/>
    <w:rsid w:val="003971BC"/>
    <w:rsid w:val="00397336"/>
    <w:rsid w:val="003A0A0D"/>
    <w:rsid w:val="003A0DAE"/>
    <w:rsid w:val="003A16BF"/>
    <w:rsid w:val="003A266C"/>
    <w:rsid w:val="003A29AF"/>
    <w:rsid w:val="003A31A4"/>
    <w:rsid w:val="003A34F0"/>
    <w:rsid w:val="003A4F0D"/>
    <w:rsid w:val="003A572A"/>
    <w:rsid w:val="003A62ED"/>
    <w:rsid w:val="003A6544"/>
    <w:rsid w:val="003A7960"/>
    <w:rsid w:val="003A7C40"/>
    <w:rsid w:val="003B0075"/>
    <w:rsid w:val="003B00F2"/>
    <w:rsid w:val="003B0166"/>
    <w:rsid w:val="003B0666"/>
    <w:rsid w:val="003B106C"/>
    <w:rsid w:val="003B123C"/>
    <w:rsid w:val="003B1AA8"/>
    <w:rsid w:val="003B1FBC"/>
    <w:rsid w:val="003B394F"/>
    <w:rsid w:val="003B465A"/>
    <w:rsid w:val="003B46F3"/>
    <w:rsid w:val="003B489F"/>
    <w:rsid w:val="003B5643"/>
    <w:rsid w:val="003B582C"/>
    <w:rsid w:val="003B5F67"/>
    <w:rsid w:val="003B6A42"/>
    <w:rsid w:val="003B6C18"/>
    <w:rsid w:val="003B74FF"/>
    <w:rsid w:val="003B784C"/>
    <w:rsid w:val="003B7DDA"/>
    <w:rsid w:val="003C1EF6"/>
    <w:rsid w:val="003C26AD"/>
    <w:rsid w:val="003C27A2"/>
    <w:rsid w:val="003C32E9"/>
    <w:rsid w:val="003C37B3"/>
    <w:rsid w:val="003C3D1D"/>
    <w:rsid w:val="003C3ED7"/>
    <w:rsid w:val="003C43B6"/>
    <w:rsid w:val="003C49BD"/>
    <w:rsid w:val="003C5320"/>
    <w:rsid w:val="003C630D"/>
    <w:rsid w:val="003C6694"/>
    <w:rsid w:val="003C7066"/>
    <w:rsid w:val="003C7B26"/>
    <w:rsid w:val="003D17B0"/>
    <w:rsid w:val="003D2586"/>
    <w:rsid w:val="003D35AA"/>
    <w:rsid w:val="003D4602"/>
    <w:rsid w:val="003D4804"/>
    <w:rsid w:val="003D5814"/>
    <w:rsid w:val="003D6021"/>
    <w:rsid w:val="003E056F"/>
    <w:rsid w:val="003E166D"/>
    <w:rsid w:val="003E16A8"/>
    <w:rsid w:val="003E179F"/>
    <w:rsid w:val="003E20D5"/>
    <w:rsid w:val="003E27EA"/>
    <w:rsid w:val="003E33C4"/>
    <w:rsid w:val="003E33D8"/>
    <w:rsid w:val="003E39DF"/>
    <w:rsid w:val="003E4253"/>
    <w:rsid w:val="003E4368"/>
    <w:rsid w:val="003E43DB"/>
    <w:rsid w:val="003E4443"/>
    <w:rsid w:val="003E4476"/>
    <w:rsid w:val="003E4F97"/>
    <w:rsid w:val="003E5896"/>
    <w:rsid w:val="003E5942"/>
    <w:rsid w:val="003E5AA8"/>
    <w:rsid w:val="003E5B41"/>
    <w:rsid w:val="003E5EA1"/>
    <w:rsid w:val="003E6B71"/>
    <w:rsid w:val="003E71CC"/>
    <w:rsid w:val="003E72D7"/>
    <w:rsid w:val="003F01F8"/>
    <w:rsid w:val="003F08B9"/>
    <w:rsid w:val="003F1164"/>
    <w:rsid w:val="003F1DCD"/>
    <w:rsid w:val="003F211F"/>
    <w:rsid w:val="003F2AAC"/>
    <w:rsid w:val="003F4BCB"/>
    <w:rsid w:val="003F6036"/>
    <w:rsid w:val="003F730D"/>
    <w:rsid w:val="003F7972"/>
    <w:rsid w:val="003F7EFA"/>
    <w:rsid w:val="0040078C"/>
    <w:rsid w:val="004008F7"/>
    <w:rsid w:val="00401074"/>
    <w:rsid w:val="004012D4"/>
    <w:rsid w:val="00401649"/>
    <w:rsid w:val="00401C23"/>
    <w:rsid w:val="00402E14"/>
    <w:rsid w:val="00402E23"/>
    <w:rsid w:val="0040385F"/>
    <w:rsid w:val="00404195"/>
    <w:rsid w:val="004043B5"/>
    <w:rsid w:val="00404CC6"/>
    <w:rsid w:val="0040520E"/>
    <w:rsid w:val="00405516"/>
    <w:rsid w:val="00405918"/>
    <w:rsid w:val="00406C87"/>
    <w:rsid w:val="004077FB"/>
    <w:rsid w:val="00407BCB"/>
    <w:rsid w:val="00407EC9"/>
    <w:rsid w:val="00410092"/>
    <w:rsid w:val="00412DDE"/>
    <w:rsid w:val="00413CD2"/>
    <w:rsid w:val="00413D29"/>
    <w:rsid w:val="00414195"/>
    <w:rsid w:val="00414232"/>
    <w:rsid w:val="004146E1"/>
    <w:rsid w:val="00415172"/>
    <w:rsid w:val="00415242"/>
    <w:rsid w:val="004157FF"/>
    <w:rsid w:val="00415E00"/>
    <w:rsid w:val="0041610E"/>
    <w:rsid w:val="004174EC"/>
    <w:rsid w:val="0041785B"/>
    <w:rsid w:val="00420F37"/>
    <w:rsid w:val="00421482"/>
    <w:rsid w:val="00421898"/>
    <w:rsid w:val="00421A62"/>
    <w:rsid w:val="00421C9F"/>
    <w:rsid w:val="004227C9"/>
    <w:rsid w:val="00422B90"/>
    <w:rsid w:val="00423091"/>
    <w:rsid w:val="00423B5F"/>
    <w:rsid w:val="00425328"/>
    <w:rsid w:val="00425981"/>
    <w:rsid w:val="00426458"/>
    <w:rsid w:val="00427B3A"/>
    <w:rsid w:val="00427E1A"/>
    <w:rsid w:val="004305C7"/>
    <w:rsid w:val="00430691"/>
    <w:rsid w:val="00430F8C"/>
    <w:rsid w:val="00431E63"/>
    <w:rsid w:val="0043247F"/>
    <w:rsid w:val="004325F8"/>
    <w:rsid w:val="00432F72"/>
    <w:rsid w:val="00433291"/>
    <w:rsid w:val="00435532"/>
    <w:rsid w:val="00435731"/>
    <w:rsid w:val="004363C3"/>
    <w:rsid w:val="004379B5"/>
    <w:rsid w:val="00437C49"/>
    <w:rsid w:val="00437F2B"/>
    <w:rsid w:val="00440AED"/>
    <w:rsid w:val="004413FF"/>
    <w:rsid w:val="00441434"/>
    <w:rsid w:val="00441CB6"/>
    <w:rsid w:val="004421E5"/>
    <w:rsid w:val="0044319B"/>
    <w:rsid w:val="00443220"/>
    <w:rsid w:val="004435E9"/>
    <w:rsid w:val="00443EE5"/>
    <w:rsid w:val="0044595F"/>
    <w:rsid w:val="00446394"/>
    <w:rsid w:val="004465A6"/>
    <w:rsid w:val="004467E5"/>
    <w:rsid w:val="00447A48"/>
    <w:rsid w:val="00447B61"/>
    <w:rsid w:val="004507B0"/>
    <w:rsid w:val="00450AF9"/>
    <w:rsid w:val="00450BBA"/>
    <w:rsid w:val="004515CF"/>
    <w:rsid w:val="004527AD"/>
    <w:rsid w:val="0045291E"/>
    <w:rsid w:val="00452BD0"/>
    <w:rsid w:val="00452D40"/>
    <w:rsid w:val="0045340E"/>
    <w:rsid w:val="00453442"/>
    <w:rsid w:val="00453EF5"/>
    <w:rsid w:val="00455C33"/>
    <w:rsid w:val="00456068"/>
    <w:rsid w:val="00456C74"/>
    <w:rsid w:val="00457447"/>
    <w:rsid w:val="00460517"/>
    <w:rsid w:val="0046067F"/>
    <w:rsid w:val="00460A16"/>
    <w:rsid w:val="00460E8F"/>
    <w:rsid w:val="00461F8F"/>
    <w:rsid w:val="004622D8"/>
    <w:rsid w:val="00462617"/>
    <w:rsid w:val="0046270A"/>
    <w:rsid w:val="004629CC"/>
    <w:rsid w:val="00462D11"/>
    <w:rsid w:val="00462F0E"/>
    <w:rsid w:val="00463437"/>
    <w:rsid w:val="004637D3"/>
    <w:rsid w:val="0046395A"/>
    <w:rsid w:val="004639A0"/>
    <w:rsid w:val="00463FB9"/>
    <w:rsid w:val="0046406C"/>
    <w:rsid w:val="0046424A"/>
    <w:rsid w:val="00466257"/>
    <w:rsid w:val="00467FD3"/>
    <w:rsid w:val="004700D3"/>
    <w:rsid w:val="004709D4"/>
    <w:rsid w:val="004716EA"/>
    <w:rsid w:val="00471EFB"/>
    <w:rsid w:val="00472B93"/>
    <w:rsid w:val="00472E79"/>
    <w:rsid w:val="00473B22"/>
    <w:rsid w:val="00473D43"/>
    <w:rsid w:val="00474F27"/>
    <w:rsid w:val="00475DDA"/>
    <w:rsid w:val="00476722"/>
    <w:rsid w:val="00477057"/>
    <w:rsid w:val="00477683"/>
    <w:rsid w:val="00477789"/>
    <w:rsid w:val="00477B81"/>
    <w:rsid w:val="00477D1D"/>
    <w:rsid w:val="0048004C"/>
    <w:rsid w:val="00480497"/>
    <w:rsid w:val="00480B75"/>
    <w:rsid w:val="00481B43"/>
    <w:rsid w:val="00482119"/>
    <w:rsid w:val="004827AD"/>
    <w:rsid w:val="00482D18"/>
    <w:rsid w:val="00482EA5"/>
    <w:rsid w:val="004836F4"/>
    <w:rsid w:val="00483797"/>
    <w:rsid w:val="00484046"/>
    <w:rsid w:val="0048484C"/>
    <w:rsid w:val="00484C13"/>
    <w:rsid w:val="00485E15"/>
    <w:rsid w:val="004867A6"/>
    <w:rsid w:val="004874F5"/>
    <w:rsid w:val="004875FA"/>
    <w:rsid w:val="00487A7A"/>
    <w:rsid w:val="00487FC0"/>
    <w:rsid w:val="004903B3"/>
    <w:rsid w:val="0049301F"/>
    <w:rsid w:val="00493118"/>
    <w:rsid w:val="0049390A"/>
    <w:rsid w:val="00495FE0"/>
    <w:rsid w:val="0049665F"/>
    <w:rsid w:val="0049686C"/>
    <w:rsid w:val="00497429"/>
    <w:rsid w:val="004979DD"/>
    <w:rsid w:val="004A082C"/>
    <w:rsid w:val="004A0F41"/>
    <w:rsid w:val="004A26B1"/>
    <w:rsid w:val="004A272A"/>
    <w:rsid w:val="004A418B"/>
    <w:rsid w:val="004A51AE"/>
    <w:rsid w:val="004A5267"/>
    <w:rsid w:val="004A53E8"/>
    <w:rsid w:val="004A5714"/>
    <w:rsid w:val="004A64C1"/>
    <w:rsid w:val="004A69EF"/>
    <w:rsid w:val="004A740F"/>
    <w:rsid w:val="004A7519"/>
    <w:rsid w:val="004A78F4"/>
    <w:rsid w:val="004A792C"/>
    <w:rsid w:val="004B0C29"/>
    <w:rsid w:val="004B1274"/>
    <w:rsid w:val="004B147D"/>
    <w:rsid w:val="004B1F5B"/>
    <w:rsid w:val="004B228F"/>
    <w:rsid w:val="004B385F"/>
    <w:rsid w:val="004B4678"/>
    <w:rsid w:val="004B569C"/>
    <w:rsid w:val="004B648A"/>
    <w:rsid w:val="004B7573"/>
    <w:rsid w:val="004C0055"/>
    <w:rsid w:val="004C12EB"/>
    <w:rsid w:val="004C1A10"/>
    <w:rsid w:val="004C2FAA"/>
    <w:rsid w:val="004C3CA1"/>
    <w:rsid w:val="004C5193"/>
    <w:rsid w:val="004C534F"/>
    <w:rsid w:val="004C5D69"/>
    <w:rsid w:val="004C61EE"/>
    <w:rsid w:val="004C6E39"/>
    <w:rsid w:val="004C7976"/>
    <w:rsid w:val="004C7A2B"/>
    <w:rsid w:val="004D0FB9"/>
    <w:rsid w:val="004D1CD9"/>
    <w:rsid w:val="004D3165"/>
    <w:rsid w:val="004D3F21"/>
    <w:rsid w:val="004D40E9"/>
    <w:rsid w:val="004D5359"/>
    <w:rsid w:val="004D5415"/>
    <w:rsid w:val="004D54FA"/>
    <w:rsid w:val="004D588A"/>
    <w:rsid w:val="004D5A06"/>
    <w:rsid w:val="004D5D5E"/>
    <w:rsid w:val="004D5F7D"/>
    <w:rsid w:val="004D61FE"/>
    <w:rsid w:val="004D65E8"/>
    <w:rsid w:val="004D68A8"/>
    <w:rsid w:val="004D6917"/>
    <w:rsid w:val="004D69A2"/>
    <w:rsid w:val="004D69EC"/>
    <w:rsid w:val="004D6C5F"/>
    <w:rsid w:val="004D6FF8"/>
    <w:rsid w:val="004D7221"/>
    <w:rsid w:val="004D75ED"/>
    <w:rsid w:val="004D793B"/>
    <w:rsid w:val="004D7C7F"/>
    <w:rsid w:val="004E0270"/>
    <w:rsid w:val="004E157E"/>
    <w:rsid w:val="004E2766"/>
    <w:rsid w:val="004E2B5E"/>
    <w:rsid w:val="004E2FC7"/>
    <w:rsid w:val="004E3521"/>
    <w:rsid w:val="004E35A9"/>
    <w:rsid w:val="004E49F7"/>
    <w:rsid w:val="004E526F"/>
    <w:rsid w:val="004E59A0"/>
    <w:rsid w:val="004E5D36"/>
    <w:rsid w:val="004E6566"/>
    <w:rsid w:val="004E6F07"/>
    <w:rsid w:val="004E7FA4"/>
    <w:rsid w:val="004F0E6A"/>
    <w:rsid w:val="004F233B"/>
    <w:rsid w:val="004F23EB"/>
    <w:rsid w:val="004F3CD8"/>
    <w:rsid w:val="004F4F1F"/>
    <w:rsid w:val="004F5EF6"/>
    <w:rsid w:val="004F6806"/>
    <w:rsid w:val="004F6869"/>
    <w:rsid w:val="004F76E9"/>
    <w:rsid w:val="0050036B"/>
    <w:rsid w:val="005009AD"/>
    <w:rsid w:val="00500EFA"/>
    <w:rsid w:val="005020A8"/>
    <w:rsid w:val="0050268F"/>
    <w:rsid w:val="005028E8"/>
    <w:rsid w:val="005029DC"/>
    <w:rsid w:val="00502A33"/>
    <w:rsid w:val="00503A44"/>
    <w:rsid w:val="0050443A"/>
    <w:rsid w:val="00504824"/>
    <w:rsid w:val="00504EAE"/>
    <w:rsid w:val="005051C0"/>
    <w:rsid w:val="005055AD"/>
    <w:rsid w:val="005063DE"/>
    <w:rsid w:val="005064DA"/>
    <w:rsid w:val="00506F4A"/>
    <w:rsid w:val="005106D0"/>
    <w:rsid w:val="0051179F"/>
    <w:rsid w:val="005120DA"/>
    <w:rsid w:val="00512C58"/>
    <w:rsid w:val="00512DA6"/>
    <w:rsid w:val="00512FCA"/>
    <w:rsid w:val="00513419"/>
    <w:rsid w:val="00513605"/>
    <w:rsid w:val="00513B97"/>
    <w:rsid w:val="00513D9F"/>
    <w:rsid w:val="0051412F"/>
    <w:rsid w:val="005141A8"/>
    <w:rsid w:val="00514A63"/>
    <w:rsid w:val="00515266"/>
    <w:rsid w:val="00516D00"/>
    <w:rsid w:val="00516E03"/>
    <w:rsid w:val="005177FD"/>
    <w:rsid w:val="00517846"/>
    <w:rsid w:val="00520DE0"/>
    <w:rsid w:val="005223A5"/>
    <w:rsid w:val="00523448"/>
    <w:rsid w:val="005235A7"/>
    <w:rsid w:val="00524FB8"/>
    <w:rsid w:val="005253F2"/>
    <w:rsid w:val="00526058"/>
    <w:rsid w:val="00526543"/>
    <w:rsid w:val="0052659D"/>
    <w:rsid w:val="00526BB4"/>
    <w:rsid w:val="00527355"/>
    <w:rsid w:val="005273E1"/>
    <w:rsid w:val="005279C4"/>
    <w:rsid w:val="005300C5"/>
    <w:rsid w:val="00531E1E"/>
    <w:rsid w:val="00532008"/>
    <w:rsid w:val="0053216D"/>
    <w:rsid w:val="005321F7"/>
    <w:rsid w:val="005323CF"/>
    <w:rsid w:val="00532D36"/>
    <w:rsid w:val="00532E84"/>
    <w:rsid w:val="005340F7"/>
    <w:rsid w:val="005348BA"/>
    <w:rsid w:val="005348D0"/>
    <w:rsid w:val="00536165"/>
    <w:rsid w:val="00536177"/>
    <w:rsid w:val="0053647E"/>
    <w:rsid w:val="00536724"/>
    <w:rsid w:val="00536986"/>
    <w:rsid w:val="00537999"/>
    <w:rsid w:val="00537B2D"/>
    <w:rsid w:val="00537BA7"/>
    <w:rsid w:val="005402C0"/>
    <w:rsid w:val="005407A3"/>
    <w:rsid w:val="0054177E"/>
    <w:rsid w:val="00541D06"/>
    <w:rsid w:val="005430D8"/>
    <w:rsid w:val="0054366F"/>
    <w:rsid w:val="00543B15"/>
    <w:rsid w:val="00544289"/>
    <w:rsid w:val="00544933"/>
    <w:rsid w:val="005466E6"/>
    <w:rsid w:val="005468BC"/>
    <w:rsid w:val="00546915"/>
    <w:rsid w:val="00547006"/>
    <w:rsid w:val="00550BFD"/>
    <w:rsid w:val="005518A8"/>
    <w:rsid w:val="00552906"/>
    <w:rsid w:val="00552CA2"/>
    <w:rsid w:val="00552EE7"/>
    <w:rsid w:val="005537E3"/>
    <w:rsid w:val="00554303"/>
    <w:rsid w:val="005548B3"/>
    <w:rsid w:val="00554971"/>
    <w:rsid w:val="005549EA"/>
    <w:rsid w:val="00555213"/>
    <w:rsid w:val="0055534B"/>
    <w:rsid w:val="00555544"/>
    <w:rsid w:val="00555EE2"/>
    <w:rsid w:val="00555FE5"/>
    <w:rsid w:val="00556B03"/>
    <w:rsid w:val="00556E9B"/>
    <w:rsid w:val="00560277"/>
    <w:rsid w:val="0056035A"/>
    <w:rsid w:val="00560C36"/>
    <w:rsid w:val="005615F6"/>
    <w:rsid w:val="0056186D"/>
    <w:rsid w:val="005618C5"/>
    <w:rsid w:val="00561A1A"/>
    <w:rsid w:val="00561C88"/>
    <w:rsid w:val="0056220E"/>
    <w:rsid w:val="005622B9"/>
    <w:rsid w:val="00562D49"/>
    <w:rsid w:val="00563F05"/>
    <w:rsid w:val="005643DD"/>
    <w:rsid w:val="00564A76"/>
    <w:rsid w:val="00564C18"/>
    <w:rsid w:val="00564E64"/>
    <w:rsid w:val="00565907"/>
    <w:rsid w:val="00565A37"/>
    <w:rsid w:val="00565BCA"/>
    <w:rsid w:val="00565F02"/>
    <w:rsid w:val="00566944"/>
    <w:rsid w:val="00566DFB"/>
    <w:rsid w:val="0056784F"/>
    <w:rsid w:val="00567AFA"/>
    <w:rsid w:val="00570535"/>
    <w:rsid w:val="005718DA"/>
    <w:rsid w:val="00571EF9"/>
    <w:rsid w:val="00572521"/>
    <w:rsid w:val="00572CFD"/>
    <w:rsid w:val="00572D5E"/>
    <w:rsid w:val="00573114"/>
    <w:rsid w:val="0057449B"/>
    <w:rsid w:val="005752B2"/>
    <w:rsid w:val="0057536C"/>
    <w:rsid w:val="00575CFC"/>
    <w:rsid w:val="00576A16"/>
    <w:rsid w:val="00576AF8"/>
    <w:rsid w:val="00577116"/>
    <w:rsid w:val="0057747A"/>
    <w:rsid w:val="00577CE7"/>
    <w:rsid w:val="00577F9A"/>
    <w:rsid w:val="005821F2"/>
    <w:rsid w:val="005824D6"/>
    <w:rsid w:val="005827D8"/>
    <w:rsid w:val="005828B9"/>
    <w:rsid w:val="005828EA"/>
    <w:rsid w:val="0058299E"/>
    <w:rsid w:val="00582E14"/>
    <w:rsid w:val="00585C4E"/>
    <w:rsid w:val="005866F8"/>
    <w:rsid w:val="00586814"/>
    <w:rsid w:val="00586AE4"/>
    <w:rsid w:val="00586D4D"/>
    <w:rsid w:val="005872CA"/>
    <w:rsid w:val="0058751A"/>
    <w:rsid w:val="00587BD3"/>
    <w:rsid w:val="00587D1A"/>
    <w:rsid w:val="00592564"/>
    <w:rsid w:val="0059359E"/>
    <w:rsid w:val="00593E51"/>
    <w:rsid w:val="005942CC"/>
    <w:rsid w:val="0059473E"/>
    <w:rsid w:val="00595CE0"/>
    <w:rsid w:val="005964BC"/>
    <w:rsid w:val="00596AF6"/>
    <w:rsid w:val="0059701E"/>
    <w:rsid w:val="005A10F8"/>
    <w:rsid w:val="005A1208"/>
    <w:rsid w:val="005A1F60"/>
    <w:rsid w:val="005A331B"/>
    <w:rsid w:val="005A3E05"/>
    <w:rsid w:val="005A44D3"/>
    <w:rsid w:val="005A4F15"/>
    <w:rsid w:val="005A55DB"/>
    <w:rsid w:val="005A57AF"/>
    <w:rsid w:val="005A62CD"/>
    <w:rsid w:val="005A71F2"/>
    <w:rsid w:val="005B0416"/>
    <w:rsid w:val="005B08A5"/>
    <w:rsid w:val="005B14B5"/>
    <w:rsid w:val="005B23E6"/>
    <w:rsid w:val="005B2891"/>
    <w:rsid w:val="005B33EB"/>
    <w:rsid w:val="005B3482"/>
    <w:rsid w:val="005B3CE4"/>
    <w:rsid w:val="005B42CD"/>
    <w:rsid w:val="005B4898"/>
    <w:rsid w:val="005B51CD"/>
    <w:rsid w:val="005B5482"/>
    <w:rsid w:val="005B5881"/>
    <w:rsid w:val="005B65FA"/>
    <w:rsid w:val="005B7B2E"/>
    <w:rsid w:val="005B7CE6"/>
    <w:rsid w:val="005B7D26"/>
    <w:rsid w:val="005C1B14"/>
    <w:rsid w:val="005C20C1"/>
    <w:rsid w:val="005C2AE9"/>
    <w:rsid w:val="005C2D39"/>
    <w:rsid w:val="005C3DC4"/>
    <w:rsid w:val="005C3E82"/>
    <w:rsid w:val="005C4385"/>
    <w:rsid w:val="005C564B"/>
    <w:rsid w:val="005C619B"/>
    <w:rsid w:val="005C63AC"/>
    <w:rsid w:val="005C6416"/>
    <w:rsid w:val="005C7228"/>
    <w:rsid w:val="005C7B72"/>
    <w:rsid w:val="005D078C"/>
    <w:rsid w:val="005D1B5D"/>
    <w:rsid w:val="005D1CFC"/>
    <w:rsid w:val="005D2816"/>
    <w:rsid w:val="005D3882"/>
    <w:rsid w:val="005D539A"/>
    <w:rsid w:val="005D57C2"/>
    <w:rsid w:val="005D64E5"/>
    <w:rsid w:val="005D655C"/>
    <w:rsid w:val="005D6B75"/>
    <w:rsid w:val="005D73EE"/>
    <w:rsid w:val="005D7867"/>
    <w:rsid w:val="005D7EFD"/>
    <w:rsid w:val="005E193F"/>
    <w:rsid w:val="005E1A0E"/>
    <w:rsid w:val="005E2BD1"/>
    <w:rsid w:val="005E2C72"/>
    <w:rsid w:val="005E32A0"/>
    <w:rsid w:val="005E3887"/>
    <w:rsid w:val="005E3FCE"/>
    <w:rsid w:val="005E4F17"/>
    <w:rsid w:val="005E7A99"/>
    <w:rsid w:val="005F077D"/>
    <w:rsid w:val="005F1547"/>
    <w:rsid w:val="005F1A81"/>
    <w:rsid w:val="005F1B84"/>
    <w:rsid w:val="005F1C3F"/>
    <w:rsid w:val="005F215B"/>
    <w:rsid w:val="005F293B"/>
    <w:rsid w:val="005F2AA6"/>
    <w:rsid w:val="005F2E31"/>
    <w:rsid w:val="005F3409"/>
    <w:rsid w:val="005F34C1"/>
    <w:rsid w:val="005F356B"/>
    <w:rsid w:val="005F3733"/>
    <w:rsid w:val="005F38E4"/>
    <w:rsid w:val="005F4699"/>
    <w:rsid w:val="005F52CE"/>
    <w:rsid w:val="005F5D62"/>
    <w:rsid w:val="005F6470"/>
    <w:rsid w:val="005F6A3B"/>
    <w:rsid w:val="005F7503"/>
    <w:rsid w:val="005F75FD"/>
    <w:rsid w:val="005F7B36"/>
    <w:rsid w:val="005F7B96"/>
    <w:rsid w:val="00601A72"/>
    <w:rsid w:val="006024E1"/>
    <w:rsid w:val="00602969"/>
    <w:rsid w:val="006030D2"/>
    <w:rsid w:val="006031CD"/>
    <w:rsid w:val="0060399D"/>
    <w:rsid w:val="00603E2C"/>
    <w:rsid w:val="00604988"/>
    <w:rsid w:val="00604999"/>
    <w:rsid w:val="0060499F"/>
    <w:rsid w:val="00604AFE"/>
    <w:rsid w:val="0060510B"/>
    <w:rsid w:val="00605601"/>
    <w:rsid w:val="00605E00"/>
    <w:rsid w:val="006063DC"/>
    <w:rsid w:val="006068C2"/>
    <w:rsid w:val="00606901"/>
    <w:rsid w:val="006072BC"/>
    <w:rsid w:val="006077A8"/>
    <w:rsid w:val="0060788D"/>
    <w:rsid w:val="00607945"/>
    <w:rsid w:val="00607A29"/>
    <w:rsid w:val="00610333"/>
    <w:rsid w:val="006113D8"/>
    <w:rsid w:val="00611802"/>
    <w:rsid w:val="006118A1"/>
    <w:rsid w:val="0061192B"/>
    <w:rsid w:val="00611E20"/>
    <w:rsid w:val="006129B0"/>
    <w:rsid w:val="006130E1"/>
    <w:rsid w:val="00614201"/>
    <w:rsid w:val="00615734"/>
    <w:rsid w:val="00615942"/>
    <w:rsid w:val="00616823"/>
    <w:rsid w:val="00616D44"/>
    <w:rsid w:val="0061734D"/>
    <w:rsid w:val="006205AC"/>
    <w:rsid w:val="0062092E"/>
    <w:rsid w:val="006213BE"/>
    <w:rsid w:val="0062189E"/>
    <w:rsid w:val="006227A2"/>
    <w:rsid w:val="0062299E"/>
    <w:rsid w:val="00622E65"/>
    <w:rsid w:val="006238E0"/>
    <w:rsid w:val="00623FA1"/>
    <w:rsid w:val="006240BB"/>
    <w:rsid w:val="0062492B"/>
    <w:rsid w:val="006257E8"/>
    <w:rsid w:val="006274C2"/>
    <w:rsid w:val="00630681"/>
    <w:rsid w:val="00630D0B"/>
    <w:rsid w:val="00631032"/>
    <w:rsid w:val="006311E5"/>
    <w:rsid w:val="0063125F"/>
    <w:rsid w:val="0063267F"/>
    <w:rsid w:val="00632863"/>
    <w:rsid w:val="006335AD"/>
    <w:rsid w:val="00634FCD"/>
    <w:rsid w:val="00636168"/>
    <w:rsid w:val="0063629C"/>
    <w:rsid w:val="00636373"/>
    <w:rsid w:val="00637159"/>
    <w:rsid w:val="00637791"/>
    <w:rsid w:val="00637EE7"/>
    <w:rsid w:val="0064034D"/>
    <w:rsid w:val="00641248"/>
    <w:rsid w:val="006417AB"/>
    <w:rsid w:val="00642303"/>
    <w:rsid w:val="00642AA3"/>
    <w:rsid w:val="00643567"/>
    <w:rsid w:val="006438A5"/>
    <w:rsid w:val="00644C7D"/>
    <w:rsid w:val="0064527F"/>
    <w:rsid w:val="0064561C"/>
    <w:rsid w:val="00647333"/>
    <w:rsid w:val="00647B6F"/>
    <w:rsid w:val="0065166A"/>
    <w:rsid w:val="006520DD"/>
    <w:rsid w:val="00652BA1"/>
    <w:rsid w:val="00653268"/>
    <w:rsid w:val="00654506"/>
    <w:rsid w:val="006551A8"/>
    <w:rsid w:val="006551D2"/>
    <w:rsid w:val="00655953"/>
    <w:rsid w:val="00657DFD"/>
    <w:rsid w:val="00660CC5"/>
    <w:rsid w:val="00660FA9"/>
    <w:rsid w:val="00661188"/>
    <w:rsid w:val="00661D09"/>
    <w:rsid w:val="006625D8"/>
    <w:rsid w:val="00662725"/>
    <w:rsid w:val="00662A47"/>
    <w:rsid w:val="00662E82"/>
    <w:rsid w:val="006631F6"/>
    <w:rsid w:val="006633B6"/>
    <w:rsid w:val="00664275"/>
    <w:rsid w:val="0066509A"/>
    <w:rsid w:val="006655E6"/>
    <w:rsid w:val="0066587C"/>
    <w:rsid w:val="00665E63"/>
    <w:rsid w:val="00665FEC"/>
    <w:rsid w:val="00666162"/>
    <w:rsid w:val="006677D1"/>
    <w:rsid w:val="0067047C"/>
    <w:rsid w:val="00670776"/>
    <w:rsid w:val="00671604"/>
    <w:rsid w:val="006720E2"/>
    <w:rsid w:val="006724EF"/>
    <w:rsid w:val="006731AD"/>
    <w:rsid w:val="006740D4"/>
    <w:rsid w:val="00675024"/>
    <w:rsid w:val="00675423"/>
    <w:rsid w:val="00676284"/>
    <w:rsid w:val="00676C31"/>
    <w:rsid w:val="00676E91"/>
    <w:rsid w:val="00677092"/>
    <w:rsid w:val="0068054C"/>
    <w:rsid w:val="00680714"/>
    <w:rsid w:val="00680892"/>
    <w:rsid w:val="0068294B"/>
    <w:rsid w:val="0068411E"/>
    <w:rsid w:val="0068414C"/>
    <w:rsid w:val="00686035"/>
    <w:rsid w:val="00686546"/>
    <w:rsid w:val="00687308"/>
    <w:rsid w:val="00687698"/>
    <w:rsid w:val="00687CB7"/>
    <w:rsid w:val="00690252"/>
    <w:rsid w:val="006909D2"/>
    <w:rsid w:val="00690A2C"/>
    <w:rsid w:val="00691274"/>
    <w:rsid w:val="00691A7E"/>
    <w:rsid w:val="006920D9"/>
    <w:rsid w:val="00692902"/>
    <w:rsid w:val="006931A1"/>
    <w:rsid w:val="00693210"/>
    <w:rsid w:val="00693A93"/>
    <w:rsid w:val="006942DA"/>
    <w:rsid w:val="00694C46"/>
    <w:rsid w:val="00694D5C"/>
    <w:rsid w:val="00694EA9"/>
    <w:rsid w:val="00695413"/>
    <w:rsid w:val="006954D9"/>
    <w:rsid w:val="006965C8"/>
    <w:rsid w:val="00696864"/>
    <w:rsid w:val="00696E55"/>
    <w:rsid w:val="00697280"/>
    <w:rsid w:val="006A07A2"/>
    <w:rsid w:val="006A16B8"/>
    <w:rsid w:val="006A374D"/>
    <w:rsid w:val="006A3AC0"/>
    <w:rsid w:val="006A3FEF"/>
    <w:rsid w:val="006A5182"/>
    <w:rsid w:val="006A5D38"/>
    <w:rsid w:val="006B0026"/>
    <w:rsid w:val="006B0D7C"/>
    <w:rsid w:val="006B0F84"/>
    <w:rsid w:val="006B225C"/>
    <w:rsid w:val="006B2ACD"/>
    <w:rsid w:val="006B32DE"/>
    <w:rsid w:val="006B38D2"/>
    <w:rsid w:val="006B4500"/>
    <w:rsid w:val="006B49C0"/>
    <w:rsid w:val="006B53C5"/>
    <w:rsid w:val="006B5D85"/>
    <w:rsid w:val="006B76C7"/>
    <w:rsid w:val="006C0C5D"/>
    <w:rsid w:val="006C1650"/>
    <w:rsid w:val="006C1936"/>
    <w:rsid w:val="006C1C7D"/>
    <w:rsid w:val="006C214B"/>
    <w:rsid w:val="006C277A"/>
    <w:rsid w:val="006C27A5"/>
    <w:rsid w:val="006C2C9D"/>
    <w:rsid w:val="006C2CFF"/>
    <w:rsid w:val="006C2E21"/>
    <w:rsid w:val="006C476B"/>
    <w:rsid w:val="006C4AF3"/>
    <w:rsid w:val="006C78FA"/>
    <w:rsid w:val="006C7F48"/>
    <w:rsid w:val="006D0551"/>
    <w:rsid w:val="006D0A40"/>
    <w:rsid w:val="006D0D60"/>
    <w:rsid w:val="006D17FD"/>
    <w:rsid w:val="006D1EAE"/>
    <w:rsid w:val="006D3360"/>
    <w:rsid w:val="006D3420"/>
    <w:rsid w:val="006D37A2"/>
    <w:rsid w:val="006D38FB"/>
    <w:rsid w:val="006D3CEF"/>
    <w:rsid w:val="006D4B01"/>
    <w:rsid w:val="006D607B"/>
    <w:rsid w:val="006D67D9"/>
    <w:rsid w:val="006D6924"/>
    <w:rsid w:val="006E0BED"/>
    <w:rsid w:val="006E1D23"/>
    <w:rsid w:val="006E1FAC"/>
    <w:rsid w:val="006E2941"/>
    <w:rsid w:val="006E35F9"/>
    <w:rsid w:val="006E4123"/>
    <w:rsid w:val="006E5063"/>
    <w:rsid w:val="006E59A9"/>
    <w:rsid w:val="006E5AA3"/>
    <w:rsid w:val="006E5AC6"/>
    <w:rsid w:val="006E5E87"/>
    <w:rsid w:val="006E66DB"/>
    <w:rsid w:val="006E6DEF"/>
    <w:rsid w:val="006E74E2"/>
    <w:rsid w:val="006E78ED"/>
    <w:rsid w:val="006E7F11"/>
    <w:rsid w:val="006F0CFA"/>
    <w:rsid w:val="006F0F21"/>
    <w:rsid w:val="006F17AC"/>
    <w:rsid w:val="006F1EB4"/>
    <w:rsid w:val="006F29BF"/>
    <w:rsid w:val="006F2CF3"/>
    <w:rsid w:val="006F34E4"/>
    <w:rsid w:val="006F4598"/>
    <w:rsid w:val="006F4948"/>
    <w:rsid w:val="006F51D0"/>
    <w:rsid w:val="006F5930"/>
    <w:rsid w:val="006F5B05"/>
    <w:rsid w:val="006F5C3A"/>
    <w:rsid w:val="006F6028"/>
    <w:rsid w:val="006F6AEF"/>
    <w:rsid w:val="006F6D71"/>
    <w:rsid w:val="006F7132"/>
    <w:rsid w:val="00700599"/>
    <w:rsid w:val="00700693"/>
    <w:rsid w:val="00700930"/>
    <w:rsid w:val="00700F27"/>
    <w:rsid w:val="007015E2"/>
    <w:rsid w:val="0070218C"/>
    <w:rsid w:val="00703CBB"/>
    <w:rsid w:val="00703F42"/>
    <w:rsid w:val="00704282"/>
    <w:rsid w:val="00704CF5"/>
    <w:rsid w:val="00705B3F"/>
    <w:rsid w:val="00705EE7"/>
    <w:rsid w:val="00706E5B"/>
    <w:rsid w:val="007076E8"/>
    <w:rsid w:val="00710039"/>
    <w:rsid w:val="00710FE7"/>
    <w:rsid w:val="0071252A"/>
    <w:rsid w:val="00712E0C"/>
    <w:rsid w:val="00712F32"/>
    <w:rsid w:val="00712F5E"/>
    <w:rsid w:val="007133D6"/>
    <w:rsid w:val="00713AE3"/>
    <w:rsid w:val="00713B93"/>
    <w:rsid w:val="00713CA2"/>
    <w:rsid w:val="0071426D"/>
    <w:rsid w:val="00714660"/>
    <w:rsid w:val="00714E07"/>
    <w:rsid w:val="007163C7"/>
    <w:rsid w:val="00717AC0"/>
    <w:rsid w:val="007202DA"/>
    <w:rsid w:val="00720AD5"/>
    <w:rsid w:val="007210CC"/>
    <w:rsid w:val="00721714"/>
    <w:rsid w:val="00721770"/>
    <w:rsid w:val="0072178C"/>
    <w:rsid w:val="00721FC1"/>
    <w:rsid w:val="00721FCD"/>
    <w:rsid w:val="00722221"/>
    <w:rsid w:val="00722242"/>
    <w:rsid w:val="007222A5"/>
    <w:rsid w:val="00724C1F"/>
    <w:rsid w:val="00725AD8"/>
    <w:rsid w:val="00725B4F"/>
    <w:rsid w:val="00725BFD"/>
    <w:rsid w:val="00725F60"/>
    <w:rsid w:val="007268DB"/>
    <w:rsid w:val="007268E6"/>
    <w:rsid w:val="0072703E"/>
    <w:rsid w:val="007273EC"/>
    <w:rsid w:val="0072791E"/>
    <w:rsid w:val="0073039F"/>
    <w:rsid w:val="007305AB"/>
    <w:rsid w:val="007309B4"/>
    <w:rsid w:val="00730B44"/>
    <w:rsid w:val="0073195C"/>
    <w:rsid w:val="007336D0"/>
    <w:rsid w:val="007341BC"/>
    <w:rsid w:val="007348FD"/>
    <w:rsid w:val="00734BE7"/>
    <w:rsid w:val="00735279"/>
    <w:rsid w:val="007354E6"/>
    <w:rsid w:val="00736211"/>
    <w:rsid w:val="007362DA"/>
    <w:rsid w:val="007362FE"/>
    <w:rsid w:val="00736720"/>
    <w:rsid w:val="007368AF"/>
    <w:rsid w:val="00736A5C"/>
    <w:rsid w:val="00736B87"/>
    <w:rsid w:val="00736CAD"/>
    <w:rsid w:val="00737446"/>
    <w:rsid w:val="0073753B"/>
    <w:rsid w:val="00740A00"/>
    <w:rsid w:val="007411D1"/>
    <w:rsid w:val="00741677"/>
    <w:rsid w:val="0074174F"/>
    <w:rsid w:val="007419D9"/>
    <w:rsid w:val="00742CE3"/>
    <w:rsid w:val="007451A6"/>
    <w:rsid w:val="007453BF"/>
    <w:rsid w:val="00745D7D"/>
    <w:rsid w:val="007467C5"/>
    <w:rsid w:val="00746892"/>
    <w:rsid w:val="00746C62"/>
    <w:rsid w:val="00747846"/>
    <w:rsid w:val="00747D75"/>
    <w:rsid w:val="00751609"/>
    <w:rsid w:val="00751760"/>
    <w:rsid w:val="00751761"/>
    <w:rsid w:val="00752D06"/>
    <w:rsid w:val="00753264"/>
    <w:rsid w:val="0075389C"/>
    <w:rsid w:val="00753A65"/>
    <w:rsid w:val="00754472"/>
    <w:rsid w:val="007546AE"/>
    <w:rsid w:val="00760E28"/>
    <w:rsid w:val="007616E9"/>
    <w:rsid w:val="00761921"/>
    <w:rsid w:val="007619EC"/>
    <w:rsid w:val="00762A8C"/>
    <w:rsid w:val="00762BA9"/>
    <w:rsid w:val="00763680"/>
    <w:rsid w:val="00763D3D"/>
    <w:rsid w:val="007644D1"/>
    <w:rsid w:val="00764C0F"/>
    <w:rsid w:val="00765397"/>
    <w:rsid w:val="00765C74"/>
    <w:rsid w:val="00765CC6"/>
    <w:rsid w:val="0076668B"/>
    <w:rsid w:val="007668D7"/>
    <w:rsid w:val="007669EA"/>
    <w:rsid w:val="0076738C"/>
    <w:rsid w:val="00767DFD"/>
    <w:rsid w:val="0077080D"/>
    <w:rsid w:val="00770FEC"/>
    <w:rsid w:val="00771094"/>
    <w:rsid w:val="007719E0"/>
    <w:rsid w:val="007722E8"/>
    <w:rsid w:val="00772731"/>
    <w:rsid w:val="007734EC"/>
    <w:rsid w:val="00773EC0"/>
    <w:rsid w:val="007742DE"/>
    <w:rsid w:val="00774F1A"/>
    <w:rsid w:val="00775F5F"/>
    <w:rsid w:val="0078010C"/>
    <w:rsid w:val="0078048B"/>
    <w:rsid w:val="007805DC"/>
    <w:rsid w:val="007809B1"/>
    <w:rsid w:val="00780B94"/>
    <w:rsid w:val="007811D7"/>
    <w:rsid w:val="0078146C"/>
    <w:rsid w:val="00782559"/>
    <w:rsid w:val="00782663"/>
    <w:rsid w:val="00783043"/>
    <w:rsid w:val="00783904"/>
    <w:rsid w:val="00784723"/>
    <w:rsid w:val="00786260"/>
    <w:rsid w:val="007869E6"/>
    <w:rsid w:val="00786AD1"/>
    <w:rsid w:val="00786B1A"/>
    <w:rsid w:val="00787D43"/>
    <w:rsid w:val="007904F8"/>
    <w:rsid w:val="00790EC0"/>
    <w:rsid w:val="0079149E"/>
    <w:rsid w:val="00791724"/>
    <w:rsid w:val="00791DCB"/>
    <w:rsid w:val="0079270D"/>
    <w:rsid w:val="0079294D"/>
    <w:rsid w:val="00792E78"/>
    <w:rsid w:val="00793190"/>
    <w:rsid w:val="00793EEA"/>
    <w:rsid w:val="00794031"/>
    <w:rsid w:val="00794303"/>
    <w:rsid w:val="00795894"/>
    <w:rsid w:val="007968A4"/>
    <w:rsid w:val="00796B3B"/>
    <w:rsid w:val="007971F8"/>
    <w:rsid w:val="007977F7"/>
    <w:rsid w:val="00797BA8"/>
    <w:rsid w:val="007A0052"/>
    <w:rsid w:val="007A054A"/>
    <w:rsid w:val="007A08AA"/>
    <w:rsid w:val="007A0B22"/>
    <w:rsid w:val="007A0E46"/>
    <w:rsid w:val="007A0E7F"/>
    <w:rsid w:val="007A11CC"/>
    <w:rsid w:val="007A21FC"/>
    <w:rsid w:val="007A2975"/>
    <w:rsid w:val="007A3242"/>
    <w:rsid w:val="007A34D8"/>
    <w:rsid w:val="007A37EC"/>
    <w:rsid w:val="007A502D"/>
    <w:rsid w:val="007A540E"/>
    <w:rsid w:val="007A5613"/>
    <w:rsid w:val="007A6B49"/>
    <w:rsid w:val="007A7CDC"/>
    <w:rsid w:val="007B0798"/>
    <w:rsid w:val="007B08AC"/>
    <w:rsid w:val="007B12DC"/>
    <w:rsid w:val="007B1E29"/>
    <w:rsid w:val="007B2C6A"/>
    <w:rsid w:val="007B2FBC"/>
    <w:rsid w:val="007B4AD9"/>
    <w:rsid w:val="007B4B2D"/>
    <w:rsid w:val="007B6487"/>
    <w:rsid w:val="007B671C"/>
    <w:rsid w:val="007B72AF"/>
    <w:rsid w:val="007B7317"/>
    <w:rsid w:val="007C00ED"/>
    <w:rsid w:val="007C0724"/>
    <w:rsid w:val="007C1360"/>
    <w:rsid w:val="007C18D1"/>
    <w:rsid w:val="007C1CE0"/>
    <w:rsid w:val="007C2ABB"/>
    <w:rsid w:val="007C2E2E"/>
    <w:rsid w:val="007C3905"/>
    <w:rsid w:val="007C5008"/>
    <w:rsid w:val="007C570B"/>
    <w:rsid w:val="007C5ABB"/>
    <w:rsid w:val="007C647E"/>
    <w:rsid w:val="007C6CBE"/>
    <w:rsid w:val="007C7278"/>
    <w:rsid w:val="007D142C"/>
    <w:rsid w:val="007D15F9"/>
    <w:rsid w:val="007D1BA9"/>
    <w:rsid w:val="007D2D8A"/>
    <w:rsid w:val="007D32E8"/>
    <w:rsid w:val="007D43AB"/>
    <w:rsid w:val="007D47F9"/>
    <w:rsid w:val="007D4EA6"/>
    <w:rsid w:val="007D5121"/>
    <w:rsid w:val="007D55AB"/>
    <w:rsid w:val="007D55CC"/>
    <w:rsid w:val="007D5A29"/>
    <w:rsid w:val="007D6004"/>
    <w:rsid w:val="007D643D"/>
    <w:rsid w:val="007D6F33"/>
    <w:rsid w:val="007E01DD"/>
    <w:rsid w:val="007E02E9"/>
    <w:rsid w:val="007E081D"/>
    <w:rsid w:val="007E12F1"/>
    <w:rsid w:val="007E203C"/>
    <w:rsid w:val="007E2367"/>
    <w:rsid w:val="007E25CF"/>
    <w:rsid w:val="007E2F96"/>
    <w:rsid w:val="007E3854"/>
    <w:rsid w:val="007E3B6C"/>
    <w:rsid w:val="007E467F"/>
    <w:rsid w:val="007E570B"/>
    <w:rsid w:val="007E5816"/>
    <w:rsid w:val="007E5FC2"/>
    <w:rsid w:val="007E6098"/>
    <w:rsid w:val="007E67DB"/>
    <w:rsid w:val="007F0D1B"/>
    <w:rsid w:val="007F11E8"/>
    <w:rsid w:val="007F1F3C"/>
    <w:rsid w:val="007F2808"/>
    <w:rsid w:val="007F323B"/>
    <w:rsid w:val="007F33F6"/>
    <w:rsid w:val="007F5E63"/>
    <w:rsid w:val="007F5EFB"/>
    <w:rsid w:val="007F6DB8"/>
    <w:rsid w:val="007F7210"/>
    <w:rsid w:val="0080070C"/>
    <w:rsid w:val="008013DE"/>
    <w:rsid w:val="008020F2"/>
    <w:rsid w:val="00802F1B"/>
    <w:rsid w:val="008035EE"/>
    <w:rsid w:val="00803DCB"/>
    <w:rsid w:val="00804FBE"/>
    <w:rsid w:val="0080500C"/>
    <w:rsid w:val="008051DE"/>
    <w:rsid w:val="00806032"/>
    <w:rsid w:val="00806A9C"/>
    <w:rsid w:val="00806C34"/>
    <w:rsid w:val="008074B0"/>
    <w:rsid w:val="00807A66"/>
    <w:rsid w:val="00810A61"/>
    <w:rsid w:val="00810E90"/>
    <w:rsid w:val="0081265D"/>
    <w:rsid w:val="00812A99"/>
    <w:rsid w:val="00815972"/>
    <w:rsid w:val="00815DF8"/>
    <w:rsid w:val="008165FA"/>
    <w:rsid w:val="00816730"/>
    <w:rsid w:val="0081693E"/>
    <w:rsid w:val="00817636"/>
    <w:rsid w:val="00817DCE"/>
    <w:rsid w:val="0082088C"/>
    <w:rsid w:val="00821064"/>
    <w:rsid w:val="00821679"/>
    <w:rsid w:val="008216E9"/>
    <w:rsid w:val="008223BB"/>
    <w:rsid w:val="00822ECB"/>
    <w:rsid w:val="00822FB6"/>
    <w:rsid w:val="008233B9"/>
    <w:rsid w:val="00823414"/>
    <w:rsid w:val="00823A76"/>
    <w:rsid w:val="008247E2"/>
    <w:rsid w:val="00824DD9"/>
    <w:rsid w:val="00824EB2"/>
    <w:rsid w:val="008254B8"/>
    <w:rsid w:val="00825E36"/>
    <w:rsid w:val="008264AD"/>
    <w:rsid w:val="008266A9"/>
    <w:rsid w:val="0082672E"/>
    <w:rsid w:val="0082691F"/>
    <w:rsid w:val="008270BD"/>
    <w:rsid w:val="00827954"/>
    <w:rsid w:val="008301DE"/>
    <w:rsid w:val="00830826"/>
    <w:rsid w:val="008309A8"/>
    <w:rsid w:val="00830ED8"/>
    <w:rsid w:val="008311FC"/>
    <w:rsid w:val="00831C54"/>
    <w:rsid w:val="0083201C"/>
    <w:rsid w:val="008323DF"/>
    <w:rsid w:val="00833B09"/>
    <w:rsid w:val="00833B28"/>
    <w:rsid w:val="0083566E"/>
    <w:rsid w:val="00835871"/>
    <w:rsid w:val="00835884"/>
    <w:rsid w:val="00836F3A"/>
    <w:rsid w:val="008370E6"/>
    <w:rsid w:val="008371CA"/>
    <w:rsid w:val="008406ED"/>
    <w:rsid w:val="008414D6"/>
    <w:rsid w:val="008416DD"/>
    <w:rsid w:val="008417B1"/>
    <w:rsid w:val="00841B33"/>
    <w:rsid w:val="00841C08"/>
    <w:rsid w:val="008432AD"/>
    <w:rsid w:val="00843702"/>
    <w:rsid w:val="0084399E"/>
    <w:rsid w:val="0084644C"/>
    <w:rsid w:val="00846505"/>
    <w:rsid w:val="0084664C"/>
    <w:rsid w:val="008469C4"/>
    <w:rsid w:val="00847A5A"/>
    <w:rsid w:val="00847E4C"/>
    <w:rsid w:val="008502AA"/>
    <w:rsid w:val="0085039C"/>
    <w:rsid w:val="00852ABB"/>
    <w:rsid w:val="0085390C"/>
    <w:rsid w:val="008546F4"/>
    <w:rsid w:val="00854B4B"/>
    <w:rsid w:val="00854D37"/>
    <w:rsid w:val="00854D41"/>
    <w:rsid w:val="008550AA"/>
    <w:rsid w:val="00855696"/>
    <w:rsid w:val="00856A64"/>
    <w:rsid w:val="00860286"/>
    <w:rsid w:val="008604A0"/>
    <w:rsid w:val="00861358"/>
    <w:rsid w:val="008625FD"/>
    <w:rsid w:val="00864186"/>
    <w:rsid w:val="0086440A"/>
    <w:rsid w:val="00864D44"/>
    <w:rsid w:val="00864E1A"/>
    <w:rsid w:val="0086509D"/>
    <w:rsid w:val="00865421"/>
    <w:rsid w:val="0086553F"/>
    <w:rsid w:val="00865AA4"/>
    <w:rsid w:val="0086614C"/>
    <w:rsid w:val="00866C60"/>
    <w:rsid w:val="00866CD9"/>
    <w:rsid w:val="00866DDD"/>
    <w:rsid w:val="008675A8"/>
    <w:rsid w:val="008677C3"/>
    <w:rsid w:val="00867D27"/>
    <w:rsid w:val="00870E3B"/>
    <w:rsid w:val="00870F99"/>
    <w:rsid w:val="00871140"/>
    <w:rsid w:val="008711DA"/>
    <w:rsid w:val="0087215A"/>
    <w:rsid w:val="008733A5"/>
    <w:rsid w:val="00873854"/>
    <w:rsid w:val="00873D4B"/>
    <w:rsid w:val="008747F4"/>
    <w:rsid w:val="00874E68"/>
    <w:rsid w:val="00875758"/>
    <w:rsid w:val="008759DF"/>
    <w:rsid w:val="00876497"/>
    <w:rsid w:val="00876596"/>
    <w:rsid w:val="00876CF6"/>
    <w:rsid w:val="00877DC4"/>
    <w:rsid w:val="008809F1"/>
    <w:rsid w:val="00880B82"/>
    <w:rsid w:val="00881183"/>
    <w:rsid w:val="00881196"/>
    <w:rsid w:val="00881BAE"/>
    <w:rsid w:val="008822D0"/>
    <w:rsid w:val="00882CB5"/>
    <w:rsid w:val="00883039"/>
    <w:rsid w:val="008838D2"/>
    <w:rsid w:val="00883C40"/>
    <w:rsid w:val="00883D7F"/>
    <w:rsid w:val="0088416D"/>
    <w:rsid w:val="008843CD"/>
    <w:rsid w:val="0088550D"/>
    <w:rsid w:val="00885732"/>
    <w:rsid w:val="008857AC"/>
    <w:rsid w:val="00886463"/>
    <w:rsid w:val="00886770"/>
    <w:rsid w:val="0088729E"/>
    <w:rsid w:val="00887C54"/>
    <w:rsid w:val="00890835"/>
    <w:rsid w:val="00890BB9"/>
    <w:rsid w:val="008911BC"/>
    <w:rsid w:val="0089183C"/>
    <w:rsid w:val="00891FF8"/>
    <w:rsid w:val="008938E0"/>
    <w:rsid w:val="00893B05"/>
    <w:rsid w:val="00894AFD"/>
    <w:rsid w:val="0089608D"/>
    <w:rsid w:val="0089664B"/>
    <w:rsid w:val="00896AA3"/>
    <w:rsid w:val="00896B83"/>
    <w:rsid w:val="00896FCE"/>
    <w:rsid w:val="00897427"/>
    <w:rsid w:val="00897A9C"/>
    <w:rsid w:val="00897AE9"/>
    <w:rsid w:val="00897E2F"/>
    <w:rsid w:val="008A0EF0"/>
    <w:rsid w:val="008A13C5"/>
    <w:rsid w:val="008A162B"/>
    <w:rsid w:val="008A17D3"/>
    <w:rsid w:val="008A1E71"/>
    <w:rsid w:val="008A29FA"/>
    <w:rsid w:val="008A2B9A"/>
    <w:rsid w:val="008A33F7"/>
    <w:rsid w:val="008A3805"/>
    <w:rsid w:val="008A568E"/>
    <w:rsid w:val="008A5D2D"/>
    <w:rsid w:val="008A5E33"/>
    <w:rsid w:val="008A6866"/>
    <w:rsid w:val="008A69E4"/>
    <w:rsid w:val="008A7CD3"/>
    <w:rsid w:val="008A7E61"/>
    <w:rsid w:val="008B0E08"/>
    <w:rsid w:val="008B14E5"/>
    <w:rsid w:val="008B20B1"/>
    <w:rsid w:val="008B24E7"/>
    <w:rsid w:val="008B4253"/>
    <w:rsid w:val="008B44E8"/>
    <w:rsid w:val="008B44F9"/>
    <w:rsid w:val="008B4E85"/>
    <w:rsid w:val="008B5748"/>
    <w:rsid w:val="008C1127"/>
    <w:rsid w:val="008C188D"/>
    <w:rsid w:val="008C21C8"/>
    <w:rsid w:val="008C264A"/>
    <w:rsid w:val="008C45DD"/>
    <w:rsid w:val="008C49DA"/>
    <w:rsid w:val="008C5AA2"/>
    <w:rsid w:val="008C6172"/>
    <w:rsid w:val="008C69FA"/>
    <w:rsid w:val="008C72D0"/>
    <w:rsid w:val="008C75AC"/>
    <w:rsid w:val="008C75E6"/>
    <w:rsid w:val="008C7727"/>
    <w:rsid w:val="008D09E1"/>
    <w:rsid w:val="008D0D49"/>
    <w:rsid w:val="008D12DC"/>
    <w:rsid w:val="008D1DA1"/>
    <w:rsid w:val="008D25B8"/>
    <w:rsid w:val="008D26E2"/>
    <w:rsid w:val="008D30ED"/>
    <w:rsid w:val="008D34DC"/>
    <w:rsid w:val="008D3D2A"/>
    <w:rsid w:val="008D3E60"/>
    <w:rsid w:val="008D4D3D"/>
    <w:rsid w:val="008D5A26"/>
    <w:rsid w:val="008D5B1B"/>
    <w:rsid w:val="008D6163"/>
    <w:rsid w:val="008D6477"/>
    <w:rsid w:val="008D6593"/>
    <w:rsid w:val="008D677F"/>
    <w:rsid w:val="008D6CB4"/>
    <w:rsid w:val="008D74DB"/>
    <w:rsid w:val="008E0290"/>
    <w:rsid w:val="008E0F42"/>
    <w:rsid w:val="008E19C2"/>
    <w:rsid w:val="008E1B8A"/>
    <w:rsid w:val="008E3301"/>
    <w:rsid w:val="008E3947"/>
    <w:rsid w:val="008E3CA3"/>
    <w:rsid w:val="008E4117"/>
    <w:rsid w:val="008E5083"/>
    <w:rsid w:val="008E78BE"/>
    <w:rsid w:val="008F0D0B"/>
    <w:rsid w:val="008F17E8"/>
    <w:rsid w:val="008F1EC2"/>
    <w:rsid w:val="008F22AA"/>
    <w:rsid w:val="008F22EA"/>
    <w:rsid w:val="008F2788"/>
    <w:rsid w:val="008F337D"/>
    <w:rsid w:val="008F3D5E"/>
    <w:rsid w:val="008F3F96"/>
    <w:rsid w:val="008F47A8"/>
    <w:rsid w:val="008F4EA0"/>
    <w:rsid w:val="008F5BF1"/>
    <w:rsid w:val="008F5D47"/>
    <w:rsid w:val="008F5F46"/>
    <w:rsid w:val="008F6EDB"/>
    <w:rsid w:val="008F764F"/>
    <w:rsid w:val="008F7B2C"/>
    <w:rsid w:val="008F7DEC"/>
    <w:rsid w:val="008F7E12"/>
    <w:rsid w:val="00900547"/>
    <w:rsid w:val="00900AEC"/>
    <w:rsid w:val="00900F6D"/>
    <w:rsid w:val="009012C3"/>
    <w:rsid w:val="009014B2"/>
    <w:rsid w:val="00901948"/>
    <w:rsid w:val="00902CE4"/>
    <w:rsid w:val="0090345F"/>
    <w:rsid w:val="009039FF"/>
    <w:rsid w:val="00903A30"/>
    <w:rsid w:val="00903E6B"/>
    <w:rsid w:val="009050B1"/>
    <w:rsid w:val="0090512A"/>
    <w:rsid w:val="00905229"/>
    <w:rsid w:val="00905257"/>
    <w:rsid w:val="009064E9"/>
    <w:rsid w:val="00906503"/>
    <w:rsid w:val="00906CD9"/>
    <w:rsid w:val="00906E72"/>
    <w:rsid w:val="00907904"/>
    <w:rsid w:val="00907DDA"/>
    <w:rsid w:val="00910C3C"/>
    <w:rsid w:val="00910CB5"/>
    <w:rsid w:val="00910D7B"/>
    <w:rsid w:val="00911BEF"/>
    <w:rsid w:val="00911F6D"/>
    <w:rsid w:val="009126FB"/>
    <w:rsid w:val="0091336A"/>
    <w:rsid w:val="009134A3"/>
    <w:rsid w:val="0091445A"/>
    <w:rsid w:val="009144F6"/>
    <w:rsid w:val="00914C59"/>
    <w:rsid w:val="0091502A"/>
    <w:rsid w:val="0091504B"/>
    <w:rsid w:val="0091748D"/>
    <w:rsid w:val="00921717"/>
    <w:rsid w:val="00921BBC"/>
    <w:rsid w:val="00922316"/>
    <w:rsid w:val="00922760"/>
    <w:rsid w:val="009227ED"/>
    <w:rsid w:val="00922947"/>
    <w:rsid w:val="009249D7"/>
    <w:rsid w:val="00925776"/>
    <w:rsid w:val="00925863"/>
    <w:rsid w:val="00925F0E"/>
    <w:rsid w:val="0092647A"/>
    <w:rsid w:val="00926F68"/>
    <w:rsid w:val="00927B7D"/>
    <w:rsid w:val="00930AA8"/>
    <w:rsid w:val="0093114A"/>
    <w:rsid w:val="009312A7"/>
    <w:rsid w:val="009327BA"/>
    <w:rsid w:val="00932976"/>
    <w:rsid w:val="00933A1B"/>
    <w:rsid w:val="00933BB9"/>
    <w:rsid w:val="009342ED"/>
    <w:rsid w:val="00934A40"/>
    <w:rsid w:val="00934A45"/>
    <w:rsid w:val="0093523D"/>
    <w:rsid w:val="00935492"/>
    <w:rsid w:val="009358FB"/>
    <w:rsid w:val="009359B7"/>
    <w:rsid w:val="00935AAD"/>
    <w:rsid w:val="00935B5C"/>
    <w:rsid w:val="009365C4"/>
    <w:rsid w:val="0093772C"/>
    <w:rsid w:val="009379D0"/>
    <w:rsid w:val="009403B5"/>
    <w:rsid w:val="009403FC"/>
    <w:rsid w:val="00940BE6"/>
    <w:rsid w:val="009419F7"/>
    <w:rsid w:val="00942921"/>
    <w:rsid w:val="00942FD8"/>
    <w:rsid w:val="00943F25"/>
    <w:rsid w:val="00944557"/>
    <w:rsid w:val="00945278"/>
    <w:rsid w:val="00945B2F"/>
    <w:rsid w:val="009502C7"/>
    <w:rsid w:val="0095060B"/>
    <w:rsid w:val="00950B3B"/>
    <w:rsid w:val="00950E73"/>
    <w:rsid w:val="009512CF"/>
    <w:rsid w:val="0095130A"/>
    <w:rsid w:val="0095198E"/>
    <w:rsid w:val="00952D41"/>
    <w:rsid w:val="00954881"/>
    <w:rsid w:val="00955123"/>
    <w:rsid w:val="009567B9"/>
    <w:rsid w:val="00956AFE"/>
    <w:rsid w:val="00956C55"/>
    <w:rsid w:val="00957B04"/>
    <w:rsid w:val="00957D22"/>
    <w:rsid w:val="00960BB6"/>
    <w:rsid w:val="00960DDD"/>
    <w:rsid w:val="00964BD3"/>
    <w:rsid w:val="00964CCF"/>
    <w:rsid w:val="0096608A"/>
    <w:rsid w:val="0096724D"/>
    <w:rsid w:val="009701A6"/>
    <w:rsid w:val="00970DEE"/>
    <w:rsid w:val="009710D3"/>
    <w:rsid w:val="00971233"/>
    <w:rsid w:val="00971981"/>
    <w:rsid w:val="00973438"/>
    <w:rsid w:val="00973544"/>
    <w:rsid w:val="009739DD"/>
    <w:rsid w:val="00973C40"/>
    <w:rsid w:val="00976096"/>
    <w:rsid w:val="00976C86"/>
    <w:rsid w:val="00980A33"/>
    <w:rsid w:val="00980B9B"/>
    <w:rsid w:val="00980C1E"/>
    <w:rsid w:val="00981C43"/>
    <w:rsid w:val="00982351"/>
    <w:rsid w:val="00982971"/>
    <w:rsid w:val="009837F1"/>
    <w:rsid w:val="00983C99"/>
    <w:rsid w:val="00983F4B"/>
    <w:rsid w:val="009855A0"/>
    <w:rsid w:val="009862DA"/>
    <w:rsid w:val="009865FE"/>
    <w:rsid w:val="00986A85"/>
    <w:rsid w:val="00986F22"/>
    <w:rsid w:val="009873FB"/>
    <w:rsid w:val="00987F31"/>
    <w:rsid w:val="0099037F"/>
    <w:rsid w:val="009906CC"/>
    <w:rsid w:val="00990BAE"/>
    <w:rsid w:val="00990CF7"/>
    <w:rsid w:val="009923EE"/>
    <w:rsid w:val="009932CE"/>
    <w:rsid w:val="00993AC2"/>
    <w:rsid w:val="009967D2"/>
    <w:rsid w:val="00996B55"/>
    <w:rsid w:val="00996E39"/>
    <w:rsid w:val="00997D5A"/>
    <w:rsid w:val="009A00FC"/>
    <w:rsid w:val="009A01AC"/>
    <w:rsid w:val="009A03A5"/>
    <w:rsid w:val="009A0472"/>
    <w:rsid w:val="009A0A2D"/>
    <w:rsid w:val="009A0F9C"/>
    <w:rsid w:val="009A12A1"/>
    <w:rsid w:val="009A19C5"/>
    <w:rsid w:val="009A1D02"/>
    <w:rsid w:val="009A1EB1"/>
    <w:rsid w:val="009A2D65"/>
    <w:rsid w:val="009A34B7"/>
    <w:rsid w:val="009A5895"/>
    <w:rsid w:val="009A5B00"/>
    <w:rsid w:val="009A73D5"/>
    <w:rsid w:val="009B08EC"/>
    <w:rsid w:val="009B09B5"/>
    <w:rsid w:val="009B0F5C"/>
    <w:rsid w:val="009B1B5F"/>
    <w:rsid w:val="009B2046"/>
    <w:rsid w:val="009B25F4"/>
    <w:rsid w:val="009B2A38"/>
    <w:rsid w:val="009B2F91"/>
    <w:rsid w:val="009B3FC4"/>
    <w:rsid w:val="009B468F"/>
    <w:rsid w:val="009B4B56"/>
    <w:rsid w:val="009B50BE"/>
    <w:rsid w:val="009B5120"/>
    <w:rsid w:val="009B5EA6"/>
    <w:rsid w:val="009B6693"/>
    <w:rsid w:val="009B6ED1"/>
    <w:rsid w:val="009B73E5"/>
    <w:rsid w:val="009B7EB4"/>
    <w:rsid w:val="009C04F5"/>
    <w:rsid w:val="009C0B4A"/>
    <w:rsid w:val="009C125F"/>
    <w:rsid w:val="009C153D"/>
    <w:rsid w:val="009C1F49"/>
    <w:rsid w:val="009C20AB"/>
    <w:rsid w:val="009C2488"/>
    <w:rsid w:val="009C2E4B"/>
    <w:rsid w:val="009C2E88"/>
    <w:rsid w:val="009C2EF4"/>
    <w:rsid w:val="009C3AFC"/>
    <w:rsid w:val="009C3EC1"/>
    <w:rsid w:val="009C4217"/>
    <w:rsid w:val="009C4753"/>
    <w:rsid w:val="009C5DEE"/>
    <w:rsid w:val="009C5F47"/>
    <w:rsid w:val="009C6009"/>
    <w:rsid w:val="009C6489"/>
    <w:rsid w:val="009C6A1D"/>
    <w:rsid w:val="009C6C1D"/>
    <w:rsid w:val="009C6C4A"/>
    <w:rsid w:val="009D0C85"/>
    <w:rsid w:val="009D11A5"/>
    <w:rsid w:val="009D178B"/>
    <w:rsid w:val="009D24C4"/>
    <w:rsid w:val="009D2B72"/>
    <w:rsid w:val="009D2EB8"/>
    <w:rsid w:val="009D5D62"/>
    <w:rsid w:val="009D606B"/>
    <w:rsid w:val="009D6C2E"/>
    <w:rsid w:val="009D754A"/>
    <w:rsid w:val="009D7ABD"/>
    <w:rsid w:val="009D7D59"/>
    <w:rsid w:val="009E09FD"/>
    <w:rsid w:val="009E1C5F"/>
    <w:rsid w:val="009E1CF1"/>
    <w:rsid w:val="009E25F9"/>
    <w:rsid w:val="009E2843"/>
    <w:rsid w:val="009E4036"/>
    <w:rsid w:val="009E475E"/>
    <w:rsid w:val="009E50F7"/>
    <w:rsid w:val="009E576B"/>
    <w:rsid w:val="009E5999"/>
    <w:rsid w:val="009E6293"/>
    <w:rsid w:val="009E7952"/>
    <w:rsid w:val="009E7DB7"/>
    <w:rsid w:val="009F0B7C"/>
    <w:rsid w:val="009F25C7"/>
    <w:rsid w:val="009F288C"/>
    <w:rsid w:val="009F2B2A"/>
    <w:rsid w:val="009F3108"/>
    <w:rsid w:val="009F330F"/>
    <w:rsid w:val="009F34B0"/>
    <w:rsid w:val="009F3AB9"/>
    <w:rsid w:val="009F4616"/>
    <w:rsid w:val="009F5F0E"/>
    <w:rsid w:val="00A00233"/>
    <w:rsid w:val="00A00EF8"/>
    <w:rsid w:val="00A0130D"/>
    <w:rsid w:val="00A016B1"/>
    <w:rsid w:val="00A0170E"/>
    <w:rsid w:val="00A03043"/>
    <w:rsid w:val="00A0330D"/>
    <w:rsid w:val="00A03AFB"/>
    <w:rsid w:val="00A045BF"/>
    <w:rsid w:val="00A04F3F"/>
    <w:rsid w:val="00A05711"/>
    <w:rsid w:val="00A05C52"/>
    <w:rsid w:val="00A05EE5"/>
    <w:rsid w:val="00A069CC"/>
    <w:rsid w:val="00A06B7C"/>
    <w:rsid w:val="00A10198"/>
    <w:rsid w:val="00A104DB"/>
    <w:rsid w:val="00A10584"/>
    <w:rsid w:val="00A116C9"/>
    <w:rsid w:val="00A11EB7"/>
    <w:rsid w:val="00A121FB"/>
    <w:rsid w:val="00A134E7"/>
    <w:rsid w:val="00A145B3"/>
    <w:rsid w:val="00A14D02"/>
    <w:rsid w:val="00A1500F"/>
    <w:rsid w:val="00A156A0"/>
    <w:rsid w:val="00A15E64"/>
    <w:rsid w:val="00A169BE"/>
    <w:rsid w:val="00A17841"/>
    <w:rsid w:val="00A1794E"/>
    <w:rsid w:val="00A17A01"/>
    <w:rsid w:val="00A204C4"/>
    <w:rsid w:val="00A20608"/>
    <w:rsid w:val="00A20814"/>
    <w:rsid w:val="00A20C65"/>
    <w:rsid w:val="00A20DB3"/>
    <w:rsid w:val="00A2147C"/>
    <w:rsid w:val="00A21DF2"/>
    <w:rsid w:val="00A21ECB"/>
    <w:rsid w:val="00A22CAC"/>
    <w:rsid w:val="00A230AD"/>
    <w:rsid w:val="00A249D1"/>
    <w:rsid w:val="00A24DDE"/>
    <w:rsid w:val="00A256F3"/>
    <w:rsid w:val="00A269A7"/>
    <w:rsid w:val="00A26A82"/>
    <w:rsid w:val="00A30788"/>
    <w:rsid w:val="00A3109E"/>
    <w:rsid w:val="00A3175C"/>
    <w:rsid w:val="00A31E2F"/>
    <w:rsid w:val="00A3261C"/>
    <w:rsid w:val="00A3267F"/>
    <w:rsid w:val="00A32A9B"/>
    <w:rsid w:val="00A33B35"/>
    <w:rsid w:val="00A33B99"/>
    <w:rsid w:val="00A35192"/>
    <w:rsid w:val="00A35641"/>
    <w:rsid w:val="00A35C04"/>
    <w:rsid w:val="00A35DBD"/>
    <w:rsid w:val="00A361D8"/>
    <w:rsid w:val="00A3671E"/>
    <w:rsid w:val="00A37E24"/>
    <w:rsid w:val="00A40166"/>
    <w:rsid w:val="00A40E1F"/>
    <w:rsid w:val="00A40FF3"/>
    <w:rsid w:val="00A42F06"/>
    <w:rsid w:val="00A4314B"/>
    <w:rsid w:val="00A43637"/>
    <w:rsid w:val="00A43BD4"/>
    <w:rsid w:val="00A43F49"/>
    <w:rsid w:val="00A44203"/>
    <w:rsid w:val="00A44C70"/>
    <w:rsid w:val="00A46A75"/>
    <w:rsid w:val="00A47210"/>
    <w:rsid w:val="00A50615"/>
    <w:rsid w:val="00A50FD2"/>
    <w:rsid w:val="00A5266E"/>
    <w:rsid w:val="00A536CA"/>
    <w:rsid w:val="00A544F7"/>
    <w:rsid w:val="00A55201"/>
    <w:rsid w:val="00A55CD6"/>
    <w:rsid w:val="00A55EB3"/>
    <w:rsid w:val="00A5786E"/>
    <w:rsid w:val="00A57C08"/>
    <w:rsid w:val="00A57DD5"/>
    <w:rsid w:val="00A6012F"/>
    <w:rsid w:val="00A60A91"/>
    <w:rsid w:val="00A60C86"/>
    <w:rsid w:val="00A61CB6"/>
    <w:rsid w:val="00A62002"/>
    <w:rsid w:val="00A62ACC"/>
    <w:rsid w:val="00A62D0B"/>
    <w:rsid w:val="00A63753"/>
    <w:rsid w:val="00A63986"/>
    <w:rsid w:val="00A63C4A"/>
    <w:rsid w:val="00A643C1"/>
    <w:rsid w:val="00A64447"/>
    <w:rsid w:val="00A65D3A"/>
    <w:rsid w:val="00A65F0E"/>
    <w:rsid w:val="00A661FD"/>
    <w:rsid w:val="00A67744"/>
    <w:rsid w:val="00A7029F"/>
    <w:rsid w:val="00A7089C"/>
    <w:rsid w:val="00A70FA0"/>
    <w:rsid w:val="00A71ACE"/>
    <w:rsid w:val="00A71CE9"/>
    <w:rsid w:val="00A71CF1"/>
    <w:rsid w:val="00A728B0"/>
    <w:rsid w:val="00A7417D"/>
    <w:rsid w:val="00A74D5C"/>
    <w:rsid w:val="00A77C2F"/>
    <w:rsid w:val="00A8024F"/>
    <w:rsid w:val="00A8027A"/>
    <w:rsid w:val="00A806BE"/>
    <w:rsid w:val="00A817FE"/>
    <w:rsid w:val="00A81B97"/>
    <w:rsid w:val="00A81EEB"/>
    <w:rsid w:val="00A82166"/>
    <w:rsid w:val="00A82FD2"/>
    <w:rsid w:val="00A84603"/>
    <w:rsid w:val="00A84DA7"/>
    <w:rsid w:val="00A852B3"/>
    <w:rsid w:val="00A85308"/>
    <w:rsid w:val="00A853B7"/>
    <w:rsid w:val="00A873C7"/>
    <w:rsid w:val="00A87719"/>
    <w:rsid w:val="00A9077D"/>
    <w:rsid w:val="00A9116C"/>
    <w:rsid w:val="00A92271"/>
    <w:rsid w:val="00A92F70"/>
    <w:rsid w:val="00A92F74"/>
    <w:rsid w:val="00A93AC6"/>
    <w:rsid w:val="00A93F74"/>
    <w:rsid w:val="00A9468C"/>
    <w:rsid w:val="00A9536D"/>
    <w:rsid w:val="00A95BC2"/>
    <w:rsid w:val="00A978D9"/>
    <w:rsid w:val="00AA0ABE"/>
    <w:rsid w:val="00AA0E34"/>
    <w:rsid w:val="00AA12CC"/>
    <w:rsid w:val="00AA17C3"/>
    <w:rsid w:val="00AA249D"/>
    <w:rsid w:val="00AA2814"/>
    <w:rsid w:val="00AA28DD"/>
    <w:rsid w:val="00AA29AE"/>
    <w:rsid w:val="00AA2F3C"/>
    <w:rsid w:val="00AA3E6A"/>
    <w:rsid w:val="00AA469E"/>
    <w:rsid w:val="00AA556A"/>
    <w:rsid w:val="00AA5B95"/>
    <w:rsid w:val="00AA5BE1"/>
    <w:rsid w:val="00AA5DAC"/>
    <w:rsid w:val="00AA71AD"/>
    <w:rsid w:val="00AA7CDE"/>
    <w:rsid w:val="00AB102D"/>
    <w:rsid w:val="00AB1539"/>
    <w:rsid w:val="00AB4798"/>
    <w:rsid w:val="00AB5503"/>
    <w:rsid w:val="00AB599B"/>
    <w:rsid w:val="00AB5BD2"/>
    <w:rsid w:val="00AB6109"/>
    <w:rsid w:val="00AB64DA"/>
    <w:rsid w:val="00AB65D2"/>
    <w:rsid w:val="00AB6AC0"/>
    <w:rsid w:val="00AB6AC6"/>
    <w:rsid w:val="00AB6AF9"/>
    <w:rsid w:val="00AB7686"/>
    <w:rsid w:val="00AC04AE"/>
    <w:rsid w:val="00AC13A3"/>
    <w:rsid w:val="00AC1A55"/>
    <w:rsid w:val="00AC27C6"/>
    <w:rsid w:val="00AC38B8"/>
    <w:rsid w:val="00AC5229"/>
    <w:rsid w:val="00AC56B6"/>
    <w:rsid w:val="00AC61C3"/>
    <w:rsid w:val="00AC64E3"/>
    <w:rsid w:val="00AC7215"/>
    <w:rsid w:val="00AC7A60"/>
    <w:rsid w:val="00AD079A"/>
    <w:rsid w:val="00AD0A7D"/>
    <w:rsid w:val="00AD0BE9"/>
    <w:rsid w:val="00AD269C"/>
    <w:rsid w:val="00AD2756"/>
    <w:rsid w:val="00AD2B60"/>
    <w:rsid w:val="00AD2C04"/>
    <w:rsid w:val="00AD3039"/>
    <w:rsid w:val="00AD396F"/>
    <w:rsid w:val="00AD3AAC"/>
    <w:rsid w:val="00AD3D56"/>
    <w:rsid w:val="00AD56E2"/>
    <w:rsid w:val="00AD5C4A"/>
    <w:rsid w:val="00AD65DA"/>
    <w:rsid w:val="00AD6E53"/>
    <w:rsid w:val="00AD771C"/>
    <w:rsid w:val="00AD78F1"/>
    <w:rsid w:val="00AD7E21"/>
    <w:rsid w:val="00AE00EA"/>
    <w:rsid w:val="00AE02F7"/>
    <w:rsid w:val="00AE0631"/>
    <w:rsid w:val="00AE07E1"/>
    <w:rsid w:val="00AE0B78"/>
    <w:rsid w:val="00AE138C"/>
    <w:rsid w:val="00AE2238"/>
    <w:rsid w:val="00AE2B92"/>
    <w:rsid w:val="00AE2E34"/>
    <w:rsid w:val="00AE2FB1"/>
    <w:rsid w:val="00AE3B56"/>
    <w:rsid w:val="00AE3CB7"/>
    <w:rsid w:val="00AE4714"/>
    <w:rsid w:val="00AE4855"/>
    <w:rsid w:val="00AE4D84"/>
    <w:rsid w:val="00AE4ED6"/>
    <w:rsid w:val="00AE4F3E"/>
    <w:rsid w:val="00AE5970"/>
    <w:rsid w:val="00AE5D24"/>
    <w:rsid w:val="00AE64C3"/>
    <w:rsid w:val="00AE68EA"/>
    <w:rsid w:val="00AE70E5"/>
    <w:rsid w:val="00AE7504"/>
    <w:rsid w:val="00AE7559"/>
    <w:rsid w:val="00AF0439"/>
    <w:rsid w:val="00AF062A"/>
    <w:rsid w:val="00AF1BB8"/>
    <w:rsid w:val="00AF1CF7"/>
    <w:rsid w:val="00AF22B7"/>
    <w:rsid w:val="00AF2B8D"/>
    <w:rsid w:val="00AF331A"/>
    <w:rsid w:val="00AF3A93"/>
    <w:rsid w:val="00AF4347"/>
    <w:rsid w:val="00AF44CD"/>
    <w:rsid w:val="00AF47DC"/>
    <w:rsid w:val="00AF55FB"/>
    <w:rsid w:val="00AF5EF5"/>
    <w:rsid w:val="00AF6C05"/>
    <w:rsid w:val="00AF6D93"/>
    <w:rsid w:val="00AF6E08"/>
    <w:rsid w:val="00AF7305"/>
    <w:rsid w:val="00AF7BD8"/>
    <w:rsid w:val="00AF7EA2"/>
    <w:rsid w:val="00B0098C"/>
    <w:rsid w:val="00B00BE5"/>
    <w:rsid w:val="00B012EF"/>
    <w:rsid w:val="00B02197"/>
    <w:rsid w:val="00B041FE"/>
    <w:rsid w:val="00B04459"/>
    <w:rsid w:val="00B05EF8"/>
    <w:rsid w:val="00B063A4"/>
    <w:rsid w:val="00B10402"/>
    <w:rsid w:val="00B10C65"/>
    <w:rsid w:val="00B11388"/>
    <w:rsid w:val="00B11924"/>
    <w:rsid w:val="00B11D64"/>
    <w:rsid w:val="00B11E51"/>
    <w:rsid w:val="00B11EAC"/>
    <w:rsid w:val="00B125A8"/>
    <w:rsid w:val="00B12969"/>
    <w:rsid w:val="00B12EA1"/>
    <w:rsid w:val="00B131DD"/>
    <w:rsid w:val="00B13394"/>
    <w:rsid w:val="00B133D3"/>
    <w:rsid w:val="00B13667"/>
    <w:rsid w:val="00B1387A"/>
    <w:rsid w:val="00B13BCD"/>
    <w:rsid w:val="00B150C5"/>
    <w:rsid w:val="00B1575E"/>
    <w:rsid w:val="00B15959"/>
    <w:rsid w:val="00B16EA6"/>
    <w:rsid w:val="00B1729B"/>
    <w:rsid w:val="00B17E0F"/>
    <w:rsid w:val="00B2050E"/>
    <w:rsid w:val="00B224F9"/>
    <w:rsid w:val="00B238B2"/>
    <w:rsid w:val="00B23E01"/>
    <w:rsid w:val="00B242B2"/>
    <w:rsid w:val="00B24383"/>
    <w:rsid w:val="00B24A8C"/>
    <w:rsid w:val="00B258BF"/>
    <w:rsid w:val="00B26BB5"/>
    <w:rsid w:val="00B26FBE"/>
    <w:rsid w:val="00B271ED"/>
    <w:rsid w:val="00B27B3A"/>
    <w:rsid w:val="00B27B48"/>
    <w:rsid w:val="00B3081D"/>
    <w:rsid w:val="00B30851"/>
    <w:rsid w:val="00B31BE8"/>
    <w:rsid w:val="00B31C70"/>
    <w:rsid w:val="00B31CA3"/>
    <w:rsid w:val="00B32B0E"/>
    <w:rsid w:val="00B32C24"/>
    <w:rsid w:val="00B32D92"/>
    <w:rsid w:val="00B33276"/>
    <w:rsid w:val="00B33407"/>
    <w:rsid w:val="00B339BD"/>
    <w:rsid w:val="00B34408"/>
    <w:rsid w:val="00B344EF"/>
    <w:rsid w:val="00B34838"/>
    <w:rsid w:val="00B366DC"/>
    <w:rsid w:val="00B36B2C"/>
    <w:rsid w:val="00B36D08"/>
    <w:rsid w:val="00B3738F"/>
    <w:rsid w:val="00B3771F"/>
    <w:rsid w:val="00B37DD4"/>
    <w:rsid w:val="00B403FB"/>
    <w:rsid w:val="00B42A23"/>
    <w:rsid w:val="00B42A2F"/>
    <w:rsid w:val="00B438A3"/>
    <w:rsid w:val="00B43EA6"/>
    <w:rsid w:val="00B46FB5"/>
    <w:rsid w:val="00B476D2"/>
    <w:rsid w:val="00B510A5"/>
    <w:rsid w:val="00B520AE"/>
    <w:rsid w:val="00B52CD8"/>
    <w:rsid w:val="00B530EE"/>
    <w:rsid w:val="00B54E1E"/>
    <w:rsid w:val="00B558FD"/>
    <w:rsid w:val="00B55C47"/>
    <w:rsid w:val="00B55E81"/>
    <w:rsid w:val="00B56E03"/>
    <w:rsid w:val="00B56EAB"/>
    <w:rsid w:val="00B57260"/>
    <w:rsid w:val="00B57511"/>
    <w:rsid w:val="00B57F32"/>
    <w:rsid w:val="00B6000B"/>
    <w:rsid w:val="00B611C9"/>
    <w:rsid w:val="00B61CD1"/>
    <w:rsid w:val="00B61FE3"/>
    <w:rsid w:val="00B62227"/>
    <w:rsid w:val="00B6244B"/>
    <w:rsid w:val="00B62930"/>
    <w:rsid w:val="00B62DFC"/>
    <w:rsid w:val="00B6500F"/>
    <w:rsid w:val="00B65189"/>
    <w:rsid w:val="00B652A0"/>
    <w:rsid w:val="00B65B75"/>
    <w:rsid w:val="00B66161"/>
    <w:rsid w:val="00B6655F"/>
    <w:rsid w:val="00B66E2A"/>
    <w:rsid w:val="00B66F79"/>
    <w:rsid w:val="00B70345"/>
    <w:rsid w:val="00B707D4"/>
    <w:rsid w:val="00B714B7"/>
    <w:rsid w:val="00B729B1"/>
    <w:rsid w:val="00B72A1C"/>
    <w:rsid w:val="00B73D80"/>
    <w:rsid w:val="00B742C6"/>
    <w:rsid w:val="00B74321"/>
    <w:rsid w:val="00B74B84"/>
    <w:rsid w:val="00B74F08"/>
    <w:rsid w:val="00B76070"/>
    <w:rsid w:val="00B7628D"/>
    <w:rsid w:val="00B76EED"/>
    <w:rsid w:val="00B7725A"/>
    <w:rsid w:val="00B7758C"/>
    <w:rsid w:val="00B77B3B"/>
    <w:rsid w:val="00B80010"/>
    <w:rsid w:val="00B8049E"/>
    <w:rsid w:val="00B80798"/>
    <w:rsid w:val="00B81208"/>
    <w:rsid w:val="00B8146B"/>
    <w:rsid w:val="00B81813"/>
    <w:rsid w:val="00B82DF7"/>
    <w:rsid w:val="00B83179"/>
    <w:rsid w:val="00B84475"/>
    <w:rsid w:val="00B8534D"/>
    <w:rsid w:val="00B85725"/>
    <w:rsid w:val="00B85E81"/>
    <w:rsid w:val="00B86661"/>
    <w:rsid w:val="00B86EA2"/>
    <w:rsid w:val="00B8748D"/>
    <w:rsid w:val="00B876F8"/>
    <w:rsid w:val="00B87940"/>
    <w:rsid w:val="00B87AB9"/>
    <w:rsid w:val="00B9175A"/>
    <w:rsid w:val="00B92966"/>
    <w:rsid w:val="00B93375"/>
    <w:rsid w:val="00B936B5"/>
    <w:rsid w:val="00B939BB"/>
    <w:rsid w:val="00B94058"/>
    <w:rsid w:val="00B944F6"/>
    <w:rsid w:val="00B94B2D"/>
    <w:rsid w:val="00B9670A"/>
    <w:rsid w:val="00BA0080"/>
    <w:rsid w:val="00BA009B"/>
    <w:rsid w:val="00BA0917"/>
    <w:rsid w:val="00BA0DA1"/>
    <w:rsid w:val="00BA0FF6"/>
    <w:rsid w:val="00BA3C25"/>
    <w:rsid w:val="00BA40CC"/>
    <w:rsid w:val="00BA50B1"/>
    <w:rsid w:val="00BA67E0"/>
    <w:rsid w:val="00BA6AA2"/>
    <w:rsid w:val="00BA6E99"/>
    <w:rsid w:val="00BA6FF6"/>
    <w:rsid w:val="00BA7ECB"/>
    <w:rsid w:val="00BA7F09"/>
    <w:rsid w:val="00BB0E38"/>
    <w:rsid w:val="00BB129F"/>
    <w:rsid w:val="00BB1534"/>
    <w:rsid w:val="00BB18B1"/>
    <w:rsid w:val="00BB1946"/>
    <w:rsid w:val="00BB1F51"/>
    <w:rsid w:val="00BB2489"/>
    <w:rsid w:val="00BB290E"/>
    <w:rsid w:val="00BB350D"/>
    <w:rsid w:val="00BB35E4"/>
    <w:rsid w:val="00BB3C33"/>
    <w:rsid w:val="00BB42C8"/>
    <w:rsid w:val="00BB4CB9"/>
    <w:rsid w:val="00BB4D38"/>
    <w:rsid w:val="00BB5257"/>
    <w:rsid w:val="00BB52D4"/>
    <w:rsid w:val="00BB5446"/>
    <w:rsid w:val="00BB5755"/>
    <w:rsid w:val="00BB5974"/>
    <w:rsid w:val="00BB5E21"/>
    <w:rsid w:val="00BC1E70"/>
    <w:rsid w:val="00BC207D"/>
    <w:rsid w:val="00BC3054"/>
    <w:rsid w:val="00BC3C5F"/>
    <w:rsid w:val="00BC4B3F"/>
    <w:rsid w:val="00BC50AE"/>
    <w:rsid w:val="00BC5437"/>
    <w:rsid w:val="00BC62CB"/>
    <w:rsid w:val="00BC7ACF"/>
    <w:rsid w:val="00BC7E8D"/>
    <w:rsid w:val="00BD08D3"/>
    <w:rsid w:val="00BD1C53"/>
    <w:rsid w:val="00BD28BE"/>
    <w:rsid w:val="00BD35B5"/>
    <w:rsid w:val="00BD6154"/>
    <w:rsid w:val="00BD65EE"/>
    <w:rsid w:val="00BD6B8B"/>
    <w:rsid w:val="00BD72C2"/>
    <w:rsid w:val="00BD7A05"/>
    <w:rsid w:val="00BE04CF"/>
    <w:rsid w:val="00BE0C73"/>
    <w:rsid w:val="00BE2339"/>
    <w:rsid w:val="00BE236A"/>
    <w:rsid w:val="00BE2A23"/>
    <w:rsid w:val="00BE30D5"/>
    <w:rsid w:val="00BE395A"/>
    <w:rsid w:val="00BE468A"/>
    <w:rsid w:val="00BE48D4"/>
    <w:rsid w:val="00BE4E7F"/>
    <w:rsid w:val="00BE5074"/>
    <w:rsid w:val="00BE50EC"/>
    <w:rsid w:val="00BE51B1"/>
    <w:rsid w:val="00BE51EB"/>
    <w:rsid w:val="00BE5628"/>
    <w:rsid w:val="00BE6691"/>
    <w:rsid w:val="00BE6CCE"/>
    <w:rsid w:val="00BE75ED"/>
    <w:rsid w:val="00BE7A41"/>
    <w:rsid w:val="00BF031C"/>
    <w:rsid w:val="00BF06FF"/>
    <w:rsid w:val="00BF15E9"/>
    <w:rsid w:val="00BF17F2"/>
    <w:rsid w:val="00BF21AB"/>
    <w:rsid w:val="00BF22AD"/>
    <w:rsid w:val="00BF254E"/>
    <w:rsid w:val="00BF4F33"/>
    <w:rsid w:val="00BF4F4D"/>
    <w:rsid w:val="00BF55ED"/>
    <w:rsid w:val="00BF5C2D"/>
    <w:rsid w:val="00BF6BF0"/>
    <w:rsid w:val="00BF6D92"/>
    <w:rsid w:val="00BF7100"/>
    <w:rsid w:val="00C00904"/>
    <w:rsid w:val="00C015B7"/>
    <w:rsid w:val="00C01F91"/>
    <w:rsid w:val="00C020BE"/>
    <w:rsid w:val="00C024C1"/>
    <w:rsid w:val="00C02904"/>
    <w:rsid w:val="00C02CCE"/>
    <w:rsid w:val="00C02FF0"/>
    <w:rsid w:val="00C03002"/>
    <w:rsid w:val="00C036D4"/>
    <w:rsid w:val="00C03835"/>
    <w:rsid w:val="00C03CB9"/>
    <w:rsid w:val="00C041A5"/>
    <w:rsid w:val="00C04609"/>
    <w:rsid w:val="00C04612"/>
    <w:rsid w:val="00C04EAE"/>
    <w:rsid w:val="00C04F94"/>
    <w:rsid w:val="00C054A2"/>
    <w:rsid w:val="00C05983"/>
    <w:rsid w:val="00C0737E"/>
    <w:rsid w:val="00C07538"/>
    <w:rsid w:val="00C07EF2"/>
    <w:rsid w:val="00C10666"/>
    <w:rsid w:val="00C107F2"/>
    <w:rsid w:val="00C11114"/>
    <w:rsid w:val="00C11325"/>
    <w:rsid w:val="00C12343"/>
    <w:rsid w:val="00C124BF"/>
    <w:rsid w:val="00C15D8D"/>
    <w:rsid w:val="00C17829"/>
    <w:rsid w:val="00C17967"/>
    <w:rsid w:val="00C21084"/>
    <w:rsid w:val="00C21BFD"/>
    <w:rsid w:val="00C2274D"/>
    <w:rsid w:val="00C22A4B"/>
    <w:rsid w:val="00C240CD"/>
    <w:rsid w:val="00C241BA"/>
    <w:rsid w:val="00C2479F"/>
    <w:rsid w:val="00C25055"/>
    <w:rsid w:val="00C26662"/>
    <w:rsid w:val="00C26897"/>
    <w:rsid w:val="00C26A00"/>
    <w:rsid w:val="00C26D4A"/>
    <w:rsid w:val="00C3023D"/>
    <w:rsid w:val="00C31BED"/>
    <w:rsid w:val="00C31FCF"/>
    <w:rsid w:val="00C32512"/>
    <w:rsid w:val="00C32624"/>
    <w:rsid w:val="00C329F2"/>
    <w:rsid w:val="00C32A5E"/>
    <w:rsid w:val="00C32F4E"/>
    <w:rsid w:val="00C33BE3"/>
    <w:rsid w:val="00C33D39"/>
    <w:rsid w:val="00C341B7"/>
    <w:rsid w:val="00C34D65"/>
    <w:rsid w:val="00C35DB7"/>
    <w:rsid w:val="00C35FE0"/>
    <w:rsid w:val="00C367A3"/>
    <w:rsid w:val="00C36907"/>
    <w:rsid w:val="00C37C81"/>
    <w:rsid w:val="00C37D01"/>
    <w:rsid w:val="00C4075A"/>
    <w:rsid w:val="00C41034"/>
    <w:rsid w:val="00C416F2"/>
    <w:rsid w:val="00C41B3F"/>
    <w:rsid w:val="00C41D72"/>
    <w:rsid w:val="00C432A8"/>
    <w:rsid w:val="00C44107"/>
    <w:rsid w:val="00C44896"/>
    <w:rsid w:val="00C44D2B"/>
    <w:rsid w:val="00C45066"/>
    <w:rsid w:val="00C45157"/>
    <w:rsid w:val="00C458DD"/>
    <w:rsid w:val="00C461BD"/>
    <w:rsid w:val="00C46288"/>
    <w:rsid w:val="00C46FB2"/>
    <w:rsid w:val="00C47A1D"/>
    <w:rsid w:val="00C47A52"/>
    <w:rsid w:val="00C5022C"/>
    <w:rsid w:val="00C50DD9"/>
    <w:rsid w:val="00C51177"/>
    <w:rsid w:val="00C5207E"/>
    <w:rsid w:val="00C52180"/>
    <w:rsid w:val="00C5221F"/>
    <w:rsid w:val="00C5469F"/>
    <w:rsid w:val="00C54D6D"/>
    <w:rsid w:val="00C55280"/>
    <w:rsid w:val="00C56713"/>
    <w:rsid w:val="00C576D3"/>
    <w:rsid w:val="00C57CDF"/>
    <w:rsid w:val="00C57E5A"/>
    <w:rsid w:val="00C603A3"/>
    <w:rsid w:val="00C6053E"/>
    <w:rsid w:val="00C60AD3"/>
    <w:rsid w:val="00C61CE1"/>
    <w:rsid w:val="00C61E55"/>
    <w:rsid w:val="00C62022"/>
    <w:rsid w:val="00C646F4"/>
    <w:rsid w:val="00C64CCB"/>
    <w:rsid w:val="00C65432"/>
    <w:rsid w:val="00C655B6"/>
    <w:rsid w:val="00C6725D"/>
    <w:rsid w:val="00C67E81"/>
    <w:rsid w:val="00C67E96"/>
    <w:rsid w:val="00C70DCA"/>
    <w:rsid w:val="00C720E3"/>
    <w:rsid w:val="00C72402"/>
    <w:rsid w:val="00C73957"/>
    <w:rsid w:val="00C73F1B"/>
    <w:rsid w:val="00C740E1"/>
    <w:rsid w:val="00C76051"/>
    <w:rsid w:val="00C763F2"/>
    <w:rsid w:val="00C76466"/>
    <w:rsid w:val="00C770AF"/>
    <w:rsid w:val="00C7718C"/>
    <w:rsid w:val="00C77B82"/>
    <w:rsid w:val="00C801F3"/>
    <w:rsid w:val="00C807B7"/>
    <w:rsid w:val="00C80C2A"/>
    <w:rsid w:val="00C81440"/>
    <w:rsid w:val="00C81794"/>
    <w:rsid w:val="00C81D10"/>
    <w:rsid w:val="00C81E43"/>
    <w:rsid w:val="00C81F9D"/>
    <w:rsid w:val="00C824B1"/>
    <w:rsid w:val="00C826E0"/>
    <w:rsid w:val="00C82960"/>
    <w:rsid w:val="00C8299F"/>
    <w:rsid w:val="00C82CE9"/>
    <w:rsid w:val="00C8376B"/>
    <w:rsid w:val="00C83C23"/>
    <w:rsid w:val="00C84AD3"/>
    <w:rsid w:val="00C84D68"/>
    <w:rsid w:val="00C8588D"/>
    <w:rsid w:val="00C91511"/>
    <w:rsid w:val="00C9206C"/>
    <w:rsid w:val="00C92D78"/>
    <w:rsid w:val="00C92FD3"/>
    <w:rsid w:val="00C939F8"/>
    <w:rsid w:val="00C947D0"/>
    <w:rsid w:val="00C9668C"/>
    <w:rsid w:val="00C97012"/>
    <w:rsid w:val="00C9721C"/>
    <w:rsid w:val="00C97796"/>
    <w:rsid w:val="00C977FB"/>
    <w:rsid w:val="00CA063C"/>
    <w:rsid w:val="00CA06F7"/>
    <w:rsid w:val="00CA0B04"/>
    <w:rsid w:val="00CA2B40"/>
    <w:rsid w:val="00CA3B02"/>
    <w:rsid w:val="00CA4578"/>
    <w:rsid w:val="00CA4735"/>
    <w:rsid w:val="00CA4A66"/>
    <w:rsid w:val="00CA4FB0"/>
    <w:rsid w:val="00CA4FE4"/>
    <w:rsid w:val="00CA5255"/>
    <w:rsid w:val="00CA6148"/>
    <w:rsid w:val="00CA65DC"/>
    <w:rsid w:val="00CA7986"/>
    <w:rsid w:val="00CA7A9E"/>
    <w:rsid w:val="00CA7DA0"/>
    <w:rsid w:val="00CA7E3E"/>
    <w:rsid w:val="00CB02E8"/>
    <w:rsid w:val="00CB1718"/>
    <w:rsid w:val="00CB1C43"/>
    <w:rsid w:val="00CB33D3"/>
    <w:rsid w:val="00CB4F2F"/>
    <w:rsid w:val="00CB5173"/>
    <w:rsid w:val="00CB5963"/>
    <w:rsid w:val="00CB59F6"/>
    <w:rsid w:val="00CB5C69"/>
    <w:rsid w:val="00CB606F"/>
    <w:rsid w:val="00CB76D3"/>
    <w:rsid w:val="00CB798F"/>
    <w:rsid w:val="00CC024E"/>
    <w:rsid w:val="00CC07E0"/>
    <w:rsid w:val="00CC0949"/>
    <w:rsid w:val="00CC111A"/>
    <w:rsid w:val="00CC1E06"/>
    <w:rsid w:val="00CC25E8"/>
    <w:rsid w:val="00CC2845"/>
    <w:rsid w:val="00CC402D"/>
    <w:rsid w:val="00CC4389"/>
    <w:rsid w:val="00CC62D7"/>
    <w:rsid w:val="00CC6539"/>
    <w:rsid w:val="00CC6E85"/>
    <w:rsid w:val="00CC7A92"/>
    <w:rsid w:val="00CC7D37"/>
    <w:rsid w:val="00CD10BB"/>
    <w:rsid w:val="00CD13CB"/>
    <w:rsid w:val="00CD2A21"/>
    <w:rsid w:val="00CD3490"/>
    <w:rsid w:val="00CD3D93"/>
    <w:rsid w:val="00CD40E5"/>
    <w:rsid w:val="00CD58DA"/>
    <w:rsid w:val="00CD5B17"/>
    <w:rsid w:val="00CD617C"/>
    <w:rsid w:val="00CD61A4"/>
    <w:rsid w:val="00CD6477"/>
    <w:rsid w:val="00CD651A"/>
    <w:rsid w:val="00CD7BF4"/>
    <w:rsid w:val="00CE0B4A"/>
    <w:rsid w:val="00CE0C24"/>
    <w:rsid w:val="00CE2066"/>
    <w:rsid w:val="00CE2263"/>
    <w:rsid w:val="00CE3347"/>
    <w:rsid w:val="00CE3C72"/>
    <w:rsid w:val="00CE457F"/>
    <w:rsid w:val="00CE4A31"/>
    <w:rsid w:val="00CE4C2B"/>
    <w:rsid w:val="00CE5A5A"/>
    <w:rsid w:val="00CE7215"/>
    <w:rsid w:val="00CE763B"/>
    <w:rsid w:val="00CE7D60"/>
    <w:rsid w:val="00CE7E5A"/>
    <w:rsid w:val="00CE7F2B"/>
    <w:rsid w:val="00CF05A5"/>
    <w:rsid w:val="00CF05B9"/>
    <w:rsid w:val="00CF25AA"/>
    <w:rsid w:val="00CF2A8A"/>
    <w:rsid w:val="00CF34B7"/>
    <w:rsid w:val="00CF37FD"/>
    <w:rsid w:val="00CF3868"/>
    <w:rsid w:val="00CF3C46"/>
    <w:rsid w:val="00CF40F2"/>
    <w:rsid w:val="00CF4AA5"/>
    <w:rsid w:val="00CF50E2"/>
    <w:rsid w:val="00CF694F"/>
    <w:rsid w:val="00CF6A45"/>
    <w:rsid w:val="00CF7158"/>
    <w:rsid w:val="00CF7724"/>
    <w:rsid w:val="00CF7791"/>
    <w:rsid w:val="00D01325"/>
    <w:rsid w:val="00D01431"/>
    <w:rsid w:val="00D018BD"/>
    <w:rsid w:val="00D01B6B"/>
    <w:rsid w:val="00D02232"/>
    <w:rsid w:val="00D024B4"/>
    <w:rsid w:val="00D04116"/>
    <w:rsid w:val="00D0565B"/>
    <w:rsid w:val="00D0620E"/>
    <w:rsid w:val="00D06553"/>
    <w:rsid w:val="00D06789"/>
    <w:rsid w:val="00D06C17"/>
    <w:rsid w:val="00D06C59"/>
    <w:rsid w:val="00D07069"/>
    <w:rsid w:val="00D074F7"/>
    <w:rsid w:val="00D07D34"/>
    <w:rsid w:val="00D1055D"/>
    <w:rsid w:val="00D10679"/>
    <w:rsid w:val="00D11C86"/>
    <w:rsid w:val="00D11FA5"/>
    <w:rsid w:val="00D12256"/>
    <w:rsid w:val="00D124BA"/>
    <w:rsid w:val="00D12AE3"/>
    <w:rsid w:val="00D12C48"/>
    <w:rsid w:val="00D12CFF"/>
    <w:rsid w:val="00D12E33"/>
    <w:rsid w:val="00D132F6"/>
    <w:rsid w:val="00D13A71"/>
    <w:rsid w:val="00D13B3A"/>
    <w:rsid w:val="00D1477D"/>
    <w:rsid w:val="00D14F66"/>
    <w:rsid w:val="00D15157"/>
    <w:rsid w:val="00D151F8"/>
    <w:rsid w:val="00D1528F"/>
    <w:rsid w:val="00D15530"/>
    <w:rsid w:val="00D208A0"/>
    <w:rsid w:val="00D209CA"/>
    <w:rsid w:val="00D2109F"/>
    <w:rsid w:val="00D2223C"/>
    <w:rsid w:val="00D230A5"/>
    <w:rsid w:val="00D231D8"/>
    <w:rsid w:val="00D24BE9"/>
    <w:rsid w:val="00D2528D"/>
    <w:rsid w:val="00D25772"/>
    <w:rsid w:val="00D25A16"/>
    <w:rsid w:val="00D25B69"/>
    <w:rsid w:val="00D25B77"/>
    <w:rsid w:val="00D25E17"/>
    <w:rsid w:val="00D264C2"/>
    <w:rsid w:val="00D26866"/>
    <w:rsid w:val="00D27943"/>
    <w:rsid w:val="00D300E9"/>
    <w:rsid w:val="00D30419"/>
    <w:rsid w:val="00D30CE7"/>
    <w:rsid w:val="00D31E53"/>
    <w:rsid w:val="00D31E8A"/>
    <w:rsid w:val="00D31EE7"/>
    <w:rsid w:val="00D3210E"/>
    <w:rsid w:val="00D33A09"/>
    <w:rsid w:val="00D3481B"/>
    <w:rsid w:val="00D3513E"/>
    <w:rsid w:val="00D35C06"/>
    <w:rsid w:val="00D37184"/>
    <w:rsid w:val="00D372C4"/>
    <w:rsid w:val="00D37963"/>
    <w:rsid w:val="00D37A43"/>
    <w:rsid w:val="00D37B31"/>
    <w:rsid w:val="00D402F0"/>
    <w:rsid w:val="00D40F65"/>
    <w:rsid w:val="00D40F75"/>
    <w:rsid w:val="00D419F7"/>
    <w:rsid w:val="00D43208"/>
    <w:rsid w:val="00D44D7A"/>
    <w:rsid w:val="00D44F19"/>
    <w:rsid w:val="00D45110"/>
    <w:rsid w:val="00D454E0"/>
    <w:rsid w:val="00D462E5"/>
    <w:rsid w:val="00D474A2"/>
    <w:rsid w:val="00D51418"/>
    <w:rsid w:val="00D518D7"/>
    <w:rsid w:val="00D523E8"/>
    <w:rsid w:val="00D52A1D"/>
    <w:rsid w:val="00D53100"/>
    <w:rsid w:val="00D5412B"/>
    <w:rsid w:val="00D54630"/>
    <w:rsid w:val="00D547A4"/>
    <w:rsid w:val="00D54C4C"/>
    <w:rsid w:val="00D5548A"/>
    <w:rsid w:val="00D556FF"/>
    <w:rsid w:val="00D55D9B"/>
    <w:rsid w:val="00D5658F"/>
    <w:rsid w:val="00D56888"/>
    <w:rsid w:val="00D5793B"/>
    <w:rsid w:val="00D60068"/>
    <w:rsid w:val="00D60DCA"/>
    <w:rsid w:val="00D6155A"/>
    <w:rsid w:val="00D616F9"/>
    <w:rsid w:val="00D61758"/>
    <w:rsid w:val="00D61A07"/>
    <w:rsid w:val="00D61DB7"/>
    <w:rsid w:val="00D62131"/>
    <w:rsid w:val="00D63431"/>
    <w:rsid w:val="00D635D3"/>
    <w:rsid w:val="00D63969"/>
    <w:rsid w:val="00D6422C"/>
    <w:rsid w:val="00D6454E"/>
    <w:rsid w:val="00D650B4"/>
    <w:rsid w:val="00D65D74"/>
    <w:rsid w:val="00D67795"/>
    <w:rsid w:val="00D67BC4"/>
    <w:rsid w:val="00D70210"/>
    <w:rsid w:val="00D70299"/>
    <w:rsid w:val="00D70994"/>
    <w:rsid w:val="00D70B01"/>
    <w:rsid w:val="00D70D55"/>
    <w:rsid w:val="00D71083"/>
    <w:rsid w:val="00D71FF5"/>
    <w:rsid w:val="00D724EC"/>
    <w:rsid w:val="00D725BE"/>
    <w:rsid w:val="00D725C3"/>
    <w:rsid w:val="00D72700"/>
    <w:rsid w:val="00D72980"/>
    <w:rsid w:val="00D72A92"/>
    <w:rsid w:val="00D73313"/>
    <w:rsid w:val="00D73CAC"/>
    <w:rsid w:val="00D73E30"/>
    <w:rsid w:val="00D73FFE"/>
    <w:rsid w:val="00D7476F"/>
    <w:rsid w:val="00D747EB"/>
    <w:rsid w:val="00D74B13"/>
    <w:rsid w:val="00D74B37"/>
    <w:rsid w:val="00D74C9E"/>
    <w:rsid w:val="00D7641C"/>
    <w:rsid w:val="00D76F8F"/>
    <w:rsid w:val="00D77E45"/>
    <w:rsid w:val="00D80F4C"/>
    <w:rsid w:val="00D811EC"/>
    <w:rsid w:val="00D81507"/>
    <w:rsid w:val="00D815FC"/>
    <w:rsid w:val="00D82684"/>
    <w:rsid w:val="00D82844"/>
    <w:rsid w:val="00D8444A"/>
    <w:rsid w:val="00D847ED"/>
    <w:rsid w:val="00D849E6"/>
    <w:rsid w:val="00D854A9"/>
    <w:rsid w:val="00D86E71"/>
    <w:rsid w:val="00D87156"/>
    <w:rsid w:val="00D87C7B"/>
    <w:rsid w:val="00D9018D"/>
    <w:rsid w:val="00D90609"/>
    <w:rsid w:val="00D9098D"/>
    <w:rsid w:val="00D9145A"/>
    <w:rsid w:val="00D91B8D"/>
    <w:rsid w:val="00D91CBC"/>
    <w:rsid w:val="00D91EB2"/>
    <w:rsid w:val="00D91FD1"/>
    <w:rsid w:val="00D92636"/>
    <w:rsid w:val="00D927E5"/>
    <w:rsid w:val="00D92F26"/>
    <w:rsid w:val="00D93838"/>
    <w:rsid w:val="00D9463A"/>
    <w:rsid w:val="00D94DBD"/>
    <w:rsid w:val="00D9577C"/>
    <w:rsid w:val="00D95CD2"/>
    <w:rsid w:val="00D95DB4"/>
    <w:rsid w:val="00D96AF2"/>
    <w:rsid w:val="00D97229"/>
    <w:rsid w:val="00D97390"/>
    <w:rsid w:val="00D97A28"/>
    <w:rsid w:val="00D97CF9"/>
    <w:rsid w:val="00DA0494"/>
    <w:rsid w:val="00DA06E7"/>
    <w:rsid w:val="00DA0E10"/>
    <w:rsid w:val="00DA139C"/>
    <w:rsid w:val="00DA15C8"/>
    <w:rsid w:val="00DA21E6"/>
    <w:rsid w:val="00DA2C45"/>
    <w:rsid w:val="00DA4D60"/>
    <w:rsid w:val="00DA59BD"/>
    <w:rsid w:val="00DA5E45"/>
    <w:rsid w:val="00DA7040"/>
    <w:rsid w:val="00DA73B7"/>
    <w:rsid w:val="00DA7596"/>
    <w:rsid w:val="00DA769B"/>
    <w:rsid w:val="00DA773D"/>
    <w:rsid w:val="00DB0188"/>
    <w:rsid w:val="00DB0624"/>
    <w:rsid w:val="00DB0695"/>
    <w:rsid w:val="00DB118F"/>
    <w:rsid w:val="00DB1789"/>
    <w:rsid w:val="00DB2D93"/>
    <w:rsid w:val="00DB4212"/>
    <w:rsid w:val="00DB425C"/>
    <w:rsid w:val="00DB5288"/>
    <w:rsid w:val="00DB57A6"/>
    <w:rsid w:val="00DB709A"/>
    <w:rsid w:val="00DB7E38"/>
    <w:rsid w:val="00DB7F49"/>
    <w:rsid w:val="00DC1576"/>
    <w:rsid w:val="00DC161F"/>
    <w:rsid w:val="00DC3692"/>
    <w:rsid w:val="00DC43E6"/>
    <w:rsid w:val="00DC4418"/>
    <w:rsid w:val="00DC522F"/>
    <w:rsid w:val="00DC5982"/>
    <w:rsid w:val="00DC64AE"/>
    <w:rsid w:val="00DC6BCF"/>
    <w:rsid w:val="00DC6C19"/>
    <w:rsid w:val="00DC7992"/>
    <w:rsid w:val="00DC7C93"/>
    <w:rsid w:val="00DC7DBF"/>
    <w:rsid w:val="00DD0BB8"/>
    <w:rsid w:val="00DD0E10"/>
    <w:rsid w:val="00DD110D"/>
    <w:rsid w:val="00DD2E1C"/>
    <w:rsid w:val="00DD3DB1"/>
    <w:rsid w:val="00DD4D69"/>
    <w:rsid w:val="00DD571F"/>
    <w:rsid w:val="00DD5F28"/>
    <w:rsid w:val="00DD68E9"/>
    <w:rsid w:val="00DD7673"/>
    <w:rsid w:val="00DD77B5"/>
    <w:rsid w:val="00DD7AA6"/>
    <w:rsid w:val="00DE00E0"/>
    <w:rsid w:val="00DE0A2C"/>
    <w:rsid w:val="00DE1D10"/>
    <w:rsid w:val="00DE2548"/>
    <w:rsid w:val="00DE275E"/>
    <w:rsid w:val="00DE2C35"/>
    <w:rsid w:val="00DE2D24"/>
    <w:rsid w:val="00DE3179"/>
    <w:rsid w:val="00DE35DC"/>
    <w:rsid w:val="00DE4233"/>
    <w:rsid w:val="00DE4DD9"/>
    <w:rsid w:val="00DE6A9C"/>
    <w:rsid w:val="00DF180B"/>
    <w:rsid w:val="00DF1CB8"/>
    <w:rsid w:val="00DF2252"/>
    <w:rsid w:val="00DF2F8F"/>
    <w:rsid w:val="00DF33BA"/>
    <w:rsid w:val="00DF4C1F"/>
    <w:rsid w:val="00DF59F3"/>
    <w:rsid w:val="00DF5A2E"/>
    <w:rsid w:val="00DF5FC2"/>
    <w:rsid w:val="00DF62A7"/>
    <w:rsid w:val="00DF62D7"/>
    <w:rsid w:val="00DF67E4"/>
    <w:rsid w:val="00DF6B60"/>
    <w:rsid w:val="00DF6E79"/>
    <w:rsid w:val="00DF72DA"/>
    <w:rsid w:val="00DF736B"/>
    <w:rsid w:val="00DF772D"/>
    <w:rsid w:val="00DF7802"/>
    <w:rsid w:val="00DF7AB2"/>
    <w:rsid w:val="00E00158"/>
    <w:rsid w:val="00E00429"/>
    <w:rsid w:val="00E00E8D"/>
    <w:rsid w:val="00E01967"/>
    <w:rsid w:val="00E0199A"/>
    <w:rsid w:val="00E01F6D"/>
    <w:rsid w:val="00E02309"/>
    <w:rsid w:val="00E031A5"/>
    <w:rsid w:val="00E03FD3"/>
    <w:rsid w:val="00E043BD"/>
    <w:rsid w:val="00E0449A"/>
    <w:rsid w:val="00E045DA"/>
    <w:rsid w:val="00E0572D"/>
    <w:rsid w:val="00E05765"/>
    <w:rsid w:val="00E0598E"/>
    <w:rsid w:val="00E07F44"/>
    <w:rsid w:val="00E1125C"/>
    <w:rsid w:val="00E11AF8"/>
    <w:rsid w:val="00E12180"/>
    <w:rsid w:val="00E12E59"/>
    <w:rsid w:val="00E1338E"/>
    <w:rsid w:val="00E13422"/>
    <w:rsid w:val="00E13DC3"/>
    <w:rsid w:val="00E13E4A"/>
    <w:rsid w:val="00E14462"/>
    <w:rsid w:val="00E1448F"/>
    <w:rsid w:val="00E14503"/>
    <w:rsid w:val="00E1480C"/>
    <w:rsid w:val="00E14E64"/>
    <w:rsid w:val="00E14FD0"/>
    <w:rsid w:val="00E1545B"/>
    <w:rsid w:val="00E15B35"/>
    <w:rsid w:val="00E15C25"/>
    <w:rsid w:val="00E16C98"/>
    <w:rsid w:val="00E16D73"/>
    <w:rsid w:val="00E16DAC"/>
    <w:rsid w:val="00E1753A"/>
    <w:rsid w:val="00E178C0"/>
    <w:rsid w:val="00E179D7"/>
    <w:rsid w:val="00E17B95"/>
    <w:rsid w:val="00E203DA"/>
    <w:rsid w:val="00E21811"/>
    <w:rsid w:val="00E218B4"/>
    <w:rsid w:val="00E22188"/>
    <w:rsid w:val="00E22243"/>
    <w:rsid w:val="00E2226D"/>
    <w:rsid w:val="00E2282C"/>
    <w:rsid w:val="00E237D0"/>
    <w:rsid w:val="00E237F3"/>
    <w:rsid w:val="00E23E28"/>
    <w:rsid w:val="00E24925"/>
    <w:rsid w:val="00E24CD4"/>
    <w:rsid w:val="00E24DCD"/>
    <w:rsid w:val="00E2528A"/>
    <w:rsid w:val="00E2549E"/>
    <w:rsid w:val="00E25D02"/>
    <w:rsid w:val="00E26D53"/>
    <w:rsid w:val="00E27AB4"/>
    <w:rsid w:val="00E27E75"/>
    <w:rsid w:val="00E30322"/>
    <w:rsid w:val="00E30392"/>
    <w:rsid w:val="00E30D1D"/>
    <w:rsid w:val="00E32323"/>
    <w:rsid w:val="00E326BE"/>
    <w:rsid w:val="00E32D28"/>
    <w:rsid w:val="00E32F4E"/>
    <w:rsid w:val="00E34EDA"/>
    <w:rsid w:val="00E352D3"/>
    <w:rsid w:val="00E35843"/>
    <w:rsid w:val="00E35A9A"/>
    <w:rsid w:val="00E36880"/>
    <w:rsid w:val="00E36B97"/>
    <w:rsid w:val="00E36E0C"/>
    <w:rsid w:val="00E37038"/>
    <w:rsid w:val="00E370C3"/>
    <w:rsid w:val="00E372BB"/>
    <w:rsid w:val="00E37F81"/>
    <w:rsid w:val="00E402E8"/>
    <w:rsid w:val="00E40CAD"/>
    <w:rsid w:val="00E40D82"/>
    <w:rsid w:val="00E411A9"/>
    <w:rsid w:val="00E41EF0"/>
    <w:rsid w:val="00E422A8"/>
    <w:rsid w:val="00E42B92"/>
    <w:rsid w:val="00E4362A"/>
    <w:rsid w:val="00E438DD"/>
    <w:rsid w:val="00E44217"/>
    <w:rsid w:val="00E444F0"/>
    <w:rsid w:val="00E45500"/>
    <w:rsid w:val="00E462B7"/>
    <w:rsid w:val="00E46474"/>
    <w:rsid w:val="00E46688"/>
    <w:rsid w:val="00E470EE"/>
    <w:rsid w:val="00E4737F"/>
    <w:rsid w:val="00E47E5C"/>
    <w:rsid w:val="00E47F79"/>
    <w:rsid w:val="00E47FD3"/>
    <w:rsid w:val="00E51A1D"/>
    <w:rsid w:val="00E51E69"/>
    <w:rsid w:val="00E53CA1"/>
    <w:rsid w:val="00E53EB5"/>
    <w:rsid w:val="00E547E5"/>
    <w:rsid w:val="00E54CEE"/>
    <w:rsid w:val="00E57F97"/>
    <w:rsid w:val="00E6033D"/>
    <w:rsid w:val="00E60AAD"/>
    <w:rsid w:val="00E60D00"/>
    <w:rsid w:val="00E61208"/>
    <w:rsid w:val="00E6129C"/>
    <w:rsid w:val="00E61553"/>
    <w:rsid w:val="00E616A3"/>
    <w:rsid w:val="00E61A28"/>
    <w:rsid w:val="00E61FE8"/>
    <w:rsid w:val="00E6277F"/>
    <w:rsid w:val="00E6287D"/>
    <w:rsid w:val="00E62DE6"/>
    <w:rsid w:val="00E63DBC"/>
    <w:rsid w:val="00E642D4"/>
    <w:rsid w:val="00E6465B"/>
    <w:rsid w:val="00E649CA"/>
    <w:rsid w:val="00E64A46"/>
    <w:rsid w:val="00E67061"/>
    <w:rsid w:val="00E7002F"/>
    <w:rsid w:val="00E70ACE"/>
    <w:rsid w:val="00E70D45"/>
    <w:rsid w:val="00E71935"/>
    <w:rsid w:val="00E71E57"/>
    <w:rsid w:val="00E7294B"/>
    <w:rsid w:val="00E73222"/>
    <w:rsid w:val="00E7372B"/>
    <w:rsid w:val="00E73833"/>
    <w:rsid w:val="00E73FDF"/>
    <w:rsid w:val="00E75348"/>
    <w:rsid w:val="00E75524"/>
    <w:rsid w:val="00E7582D"/>
    <w:rsid w:val="00E76025"/>
    <w:rsid w:val="00E7692C"/>
    <w:rsid w:val="00E77003"/>
    <w:rsid w:val="00E773BD"/>
    <w:rsid w:val="00E8003C"/>
    <w:rsid w:val="00E802F5"/>
    <w:rsid w:val="00E807B0"/>
    <w:rsid w:val="00E80B23"/>
    <w:rsid w:val="00E8123A"/>
    <w:rsid w:val="00E8182B"/>
    <w:rsid w:val="00E81D05"/>
    <w:rsid w:val="00E825A4"/>
    <w:rsid w:val="00E8276A"/>
    <w:rsid w:val="00E83EDA"/>
    <w:rsid w:val="00E845F0"/>
    <w:rsid w:val="00E852C5"/>
    <w:rsid w:val="00E861C5"/>
    <w:rsid w:val="00E86451"/>
    <w:rsid w:val="00E87545"/>
    <w:rsid w:val="00E87DD2"/>
    <w:rsid w:val="00E9026A"/>
    <w:rsid w:val="00E90595"/>
    <w:rsid w:val="00E90D83"/>
    <w:rsid w:val="00E91A93"/>
    <w:rsid w:val="00E925AA"/>
    <w:rsid w:val="00E92800"/>
    <w:rsid w:val="00E9340D"/>
    <w:rsid w:val="00E93452"/>
    <w:rsid w:val="00E9444E"/>
    <w:rsid w:val="00E950EA"/>
    <w:rsid w:val="00E964AE"/>
    <w:rsid w:val="00E96B26"/>
    <w:rsid w:val="00E9710B"/>
    <w:rsid w:val="00E972F1"/>
    <w:rsid w:val="00E9745B"/>
    <w:rsid w:val="00E9746B"/>
    <w:rsid w:val="00E974AA"/>
    <w:rsid w:val="00E97648"/>
    <w:rsid w:val="00EA0119"/>
    <w:rsid w:val="00EA06C6"/>
    <w:rsid w:val="00EA0E20"/>
    <w:rsid w:val="00EA113F"/>
    <w:rsid w:val="00EA22E0"/>
    <w:rsid w:val="00EA2307"/>
    <w:rsid w:val="00EA2902"/>
    <w:rsid w:val="00EA2B64"/>
    <w:rsid w:val="00EA2D3B"/>
    <w:rsid w:val="00EA3240"/>
    <w:rsid w:val="00EA3A6E"/>
    <w:rsid w:val="00EA3E91"/>
    <w:rsid w:val="00EA460C"/>
    <w:rsid w:val="00EA4C5D"/>
    <w:rsid w:val="00EA4EEA"/>
    <w:rsid w:val="00EA5169"/>
    <w:rsid w:val="00EA542E"/>
    <w:rsid w:val="00EA5946"/>
    <w:rsid w:val="00EA61FF"/>
    <w:rsid w:val="00EA73E7"/>
    <w:rsid w:val="00EB14FC"/>
    <w:rsid w:val="00EB210C"/>
    <w:rsid w:val="00EB2909"/>
    <w:rsid w:val="00EB2A29"/>
    <w:rsid w:val="00EB4B5E"/>
    <w:rsid w:val="00EB5D36"/>
    <w:rsid w:val="00EB6551"/>
    <w:rsid w:val="00EB6945"/>
    <w:rsid w:val="00EB7A27"/>
    <w:rsid w:val="00EC0056"/>
    <w:rsid w:val="00EC0743"/>
    <w:rsid w:val="00EC10B7"/>
    <w:rsid w:val="00EC1F9D"/>
    <w:rsid w:val="00EC2C5C"/>
    <w:rsid w:val="00EC2F4E"/>
    <w:rsid w:val="00EC3B83"/>
    <w:rsid w:val="00EC3BAB"/>
    <w:rsid w:val="00EC5AF2"/>
    <w:rsid w:val="00EC5B81"/>
    <w:rsid w:val="00EC7373"/>
    <w:rsid w:val="00EC7FEE"/>
    <w:rsid w:val="00ED032F"/>
    <w:rsid w:val="00ED0E68"/>
    <w:rsid w:val="00ED15D0"/>
    <w:rsid w:val="00ED174C"/>
    <w:rsid w:val="00ED1BE7"/>
    <w:rsid w:val="00ED1FB1"/>
    <w:rsid w:val="00ED2282"/>
    <w:rsid w:val="00ED2AB0"/>
    <w:rsid w:val="00ED2CE5"/>
    <w:rsid w:val="00ED30DF"/>
    <w:rsid w:val="00ED3F5B"/>
    <w:rsid w:val="00ED404E"/>
    <w:rsid w:val="00ED4216"/>
    <w:rsid w:val="00ED449C"/>
    <w:rsid w:val="00ED4695"/>
    <w:rsid w:val="00ED4E70"/>
    <w:rsid w:val="00ED5D2D"/>
    <w:rsid w:val="00ED75FC"/>
    <w:rsid w:val="00EE02FC"/>
    <w:rsid w:val="00EE0438"/>
    <w:rsid w:val="00EE0A95"/>
    <w:rsid w:val="00EE1952"/>
    <w:rsid w:val="00EE37C6"/>
    <w:rsid w:val="00EE41F9"/>
    <w:rsid w:val="00EE4C5F"/>
    <w:rsid w:val="00EE4EAB"/>
    <w:rsid w:val="00EE5347"/>
    <w:rsid w:val="00EE57BC"/>
    <w:rsid w:val="00EE5974"/>
    <w:rsid w:val="00EE6D86"/>
    <w:rsid w:val="00EE7BB0"/>
    <w:rsid w:val="00EF01AA"/>
    <w:rsid w:val="00EF0647"/>
    <w:rsid w:val="00EF1D27"/>
    <w:rsid w:val="00EF24E1"/>
    <w:rsid w:val="00EF3523"/>
    <w:rsid w:val="00EF41A1"/>
    <w:rsid w:val="00EF463B"/>
    <w:rsid w:val="00EF46F8"/>
    <w:rsid w:val="00EF4C96"/>
    <w:rsid w:val="00EF50B0"/>
    <w:rsid w:val="00EF5F86"/>
    <w:rsid w:val="00EF62A4"/>
    <w:rsid w:val="00EF6416"/>
    <w:rsid w:val="00EF6BCF"/>
    <w:rsid w:val="00EF72A4"/>
    <w:rsid w:val="00EF7521"/>
    <w:rsid w:val="00F00366"/>
    <w:rsid w:val="00F01E64"/>
    <w:rsid w:val="00F01EB5"/>
    <w:rsid w:val="00F020E6"/>
    <w:rsid w:val="00F022B0"/>
    <w:rsid w:val="00F029DC"/>
    <w:rsid w:val="00F0473F"/>
    <w:rsid w:val="00F051D4"/>
    <w:rsid w:val="00F053D2"/>
    <w:rsid w:val="00F053D9"/>
    <w:rsid w:val="00F05B24"/>
    <w:rsid w:val="00F06245"/>
    <w:rsid w:val="00F06DB6"/>
    <w:rsid w:val="00F0701D"/>
    <w:rsid w:val="00F070DE"/>
    <w:rsid w:val="00F07670"/>
    <w:rsid w:val="00F100CD"/>
    <w:rsid w:val="00F1077D"/>
    <w:rsid w:val="00F10EAC"/>
    <w:rsid w:val="00F1115F"/>
    <w:rsid w:val="00F11814"/>
    <w:rsid w:val="00F1193B"/>
    <w:rsid w:val="00F11C7E"/>
    <w:rsid w:val="00F11E0D"/>
    <w:rsid w:val="00F133CF"/>
    <w:rsid w:val="00F13480"/>
    <w:rsid w:val="00F13BAB"/>
    <w:rsid w:val="00F14FA7"/>
    <w:rsid w:val="00F15E17"/>
    <w:rsid w:val="00F160E3"/>
    <w:rsid w:val="00F17C1F"/>
    <w:rsid w:val="00F20141"/>
    <w:rsid w:val="00F20A60"/>
    <w:rsid w:val="00F22C45"/>
    <w:rsid w:val="00F256AA"/>
    <w:rsid w:val="00F25AA6"/>
    <w:rsid w:val="00F2676F"/>
    <w:rsid w:val="00F26C57"/>
    <w:rsid w:val="00F26DF1"/>
    <w:rsid w:val="00F270A8"/>
    <w:rsid w:val="00F27B04"/>
    <w:rsid w:val="00F27FD4"/>
    <w:rsid w:val="00F30515"/>
    <w:rsid w:val="00F307F3"/>
    <w:rsid w:val="00F31597"/>
    <w:rsid w:val="00F320F5"/>
    <w:rsid w:val="00F349F4"/>
    <w:rsid w:val="00F350CB"/>
    <w:rsid w:val="00F35326"/>
    <w:rsid w:val="00F3541C"/>
    <w:rsid w:val="00F36874"/>
    <w:rsid w:val="00F37088"/>
    <w:rsid w:val="00F37126"/>
    <w:rsid w:val="00F37B3E"/>
    <w:rsid w:val="00F40138"/>
    <w:rsid w:val="00F40B36"/>
    <w:rsid w:val="00F40E24"/>
    <w:rsid w:val="00F41300"/>
    <w:rsid w:val="00F41D63"/>
    <w:rsid w:val="00F43C47"/>
    <w:rsid w:val="00F43E2B"/>
    <w:rsid w:val="00F43EF7"/>
    <w:rsid w:val="00F441DC"/>
    <w:rsid w:val="00F4439E"/>
    <w:rsid w:val="00F44714"/>
    <w:rsid w:val="00F44E5D"/>
    <w:rsid w:val="00F45B94"/>
    <w:rsid w:val="00F45D5D"/>
    <w:rsid w:val="00F46727"/>
    <w:rsid w:val="00F469B9"/>
    <w:rsid w:val="00F472B7"/>
    <w:rsid w:val="00F50216"/>
    <w:rsid w:val="00F50BA9"/>
    <w:rsid w:val="00F5147F"/>
    <w:rsid w:val="00F51E3C"/>
    <w:rsid w:val="00F532C8"/>
    <w:rsid w:val="00F54935"/>
    <w:rsid w:val="00F54A7C"/>
    <w:rsid w:val="00F55C96"/>
    <w:rsid w:val="00F56759"/>
    <w:rsid w:val="00F56E37"/>
    <w:rsid w:val="00F56F2E"/>
    <w:rsid w:val="00F603CF"/>
    <w:rsid w:val="00F615B5"/>
    <w:rsid w:val="00F6160C"/>
    <w:rsid w:val="00F617F7"/>
    <w:rsid w:val="00F6216C"/>
    <w:rsid w:val="00F62F20"/>
    <w:rsid w:val="00F62F8C"/>
    <w:rsid w:val="00F638CE"/>
    <w:rsid w:val="00F641C2"/>
    <w:rsid w:val="00F6547A"/>
    <w:rsid w:val="00F65B77"/>
    <w:rsid w:val="00F65E63"/>
    <w:rsid w:val="00F6637B"/>
    <w:rsid w:val="00F663FD"/>
    <w:rsid w:val="00F66A23"/>
    <w:rsid w:val="00F66A6A"/>
    <w:rsid w:val="00F70370"/>
    <w:rsid w:val="00F70A62"/>
    <w:rsid w:val="00F71E25"/>
    <w:rsid w:val="00F72777"/>
    <w:rsid w:val="00F729A7"/>
    <w:rsid w:val="00F72CC3"/>
    <w:rsid w:val="00F735A9"/>
    <w:rsid w:val="00F73627"/>
    <w:rsid w:val="00F737A8"/>
    <w:rsid w:val="00F73870"/>
    <w:rsid w:val="00F74764"/>
    <w:rsid w:val="00F75DA2"/>
    <w:rsid w:val="00F77A15"/>
    <w:rsid w:val="00F77E19"/>
    <w:rsid w:val="00F8004C"/>
    <w:rsid w:val="00F8042A"/>
    <w:rsid w:val="00F80EB9"/>
    <w:rsid w:val="00F8248C"/>
    <w:rsid w:val="00F82A46"/>
    <w:rsid w:val="00F82E6F"/>
    <w:rsid w:val="00F832AE"/>
    <w:rsid w:val="00F83BA2"/>
    <w:rsid w:val="00F84BCF"/>
    <w:rsid w:val="00F852EF"/>
    <w:rsid w:val="00F85C60"/>
    <w:rsid w:val="00F85D13"/>
    <w:rsid w:val="00F86249"/>
    <w:rsid w:val="00F87711"/>
    <w:rsid w:val="00F9032B"/>
    <w:rsid w:val="00F90352"/>
    <w:rsid w:val="00F90635"/>
    <w:rsid w:val="00F90AB4"/>
    <w:rsid w:val="00F90DA2"/>
    <w:rsid w:val="00F912CD"/>
    <w:rsid w:val="00F92713"/>
    <w:rsid w:val="00F94E28"/>
    <w:rsid w:val="00F9581F"/>
    <w:rsid w:val="00F9634A"/>
    <w:rsid w:val="00F964C8"/>
    <w:rsid w:val="00F96AAD"/>
    <w:rsid w:val="00F96CDD"/>
    <w:rsid w:val="00F96FF5"/>
    <w:rsid w:val="00F97F6F"/>
    <w:rsid w:val="00FA0302"/>
    <w:rsid w:val="00FA077C"/>
    <w:rsid w:val="00FA1491"/>
    <w:rsid w:val="00FA1840"/>
    <w:rsid w:val="00FA1D19"/>
    <w:rsid w:val="00FA4760"/>
    <w:rsid w:val="00FA5116"/>
    <w:rsid w:val="00FA5994"/>
    <w:rsid w:val="00FA683D"/>
    <w:rsid w:val="00FA69ED"/>
    <w:rsid w:val="00FA6DEF"/>
    <w:rsid w:val="00FA6EA8"/>
    <w:rsid w:val="00FA7386"/>
    <w:rsid w:val="00FA7EA1"/>
    <w:rsid w:val="00FB0002"/>
    <w:rsid w:val="00FB063C"/>
    <w:rsid w:val="00FB0C4D"/>
    <w:rsid w:val="00FB0DAE"/>
    <w:rsid w:val="00FB0E60"/>
    <w:rsid w:val="00FB1335"/>
    <w:rsid w:val="00FB159C"/>
    <w:rsid w:val="00FB19D0"/>
    <w:rsid w:val="00FB1C0D"/>
    <w:rsid w:val="00FB23B8"/>
    <w:rsid w:val="00FB2D7F"/>
    <w:rsid w:val="00FB32BE"/>
    <w:rsid w:val="00FB3C44"/>
    <w:rsid w:val="00FB4603"/>
    <w:rsid w:val="00FB6DA4"/>
    <w:rsid w:val="00FB6F20"/>
    <w:rsid w:val="00FB6FDA"/>
    <w:rsid w:val="00FB7829"/>
    <w:rsid w:val="00FB7A46"/>
    <w:rsid w:val="00FB7E14"/>
    <w:rsid w:val="00FC1259"/>
    <w:rsid w:val="00FC21A5"/>
    <w:rsid w:val="00FC23FF"/>
    <w:rsid w:val="00FC30AD"/>
    <w:rsid w:val="00FC43AA"/>
    <w:rsid w:val="00FC4656"/>
    <w:rsid w:val="00FC4951"/>
    <w:rsid w:val="00FC5B38"/>
    <w:rsid w:val="00FC5B6B"/>
    <w:rsid w:val="00FC60EE"/>
    <w:rsid w:val="00FC61C3"/>
    <w:rsid w:val="00FC63B6"/>
    <w:rsid w:val="00FC65B1"/>
    <w:rsid w:val="00FC7864"/>
    <w:rsid w:val="00FD0A85"/>
    <w:rsid w:val="00FD1F7A"/>
    <w:rsid w:val="00FD299C"/>
    <w:rsid w:val="00FD37F7"/>
    <w:rsid w:val="00FD4487"/>
    <w:rsid w:val="00FD5DD1"/>
    <w:rsid w:val="00FD6774"/>
    <w:rsid w:val="00FD6953"/>
    <w:rsid w:val="00FD6E3C"/>
    <w:rsid w:val="00FD77FA"/>
    <w:rsid w:val="00FD7B85"/>
    <w:rsid w:val="00FD7EEE"/>
    <w:rsid w:val="00FE0760"/>
    <w:rsid w:val="00FE16D8"/>
    <w:rsid w:val="00FE1AF6"/>
    <w:rsid w:val="00FE1CB5"/>
    <w:rsid w:val="00FE210E"/>
    <w:rsid w:val="00FE28EC"/>
    <w:rsid w:val="00FE356E"/>
    <w:rsid w:val="00FE39EE"/>
    <w:rsid w:val="00FE3F2F"/>
    <w:rsid w:val="00FE43F1"/>
    <w:rsid w:val="00FE47A9"/>
    <w:rsid w:val="00FE5C24"/>
    <w:rsid w:val="00FE64DA"/>
    <w:rsid w:val="00FE6889"/>
    <w:rsid w:val="00FE695E"/>
    <w:rsid w:val="00FE6BA0"/>
    <w:rsid w:val="00FE761C"/>
    <w:rsid w:val="00FF0EB8"/>
    <w:rsid w:val="00FF1818"/>
    <w:rsid w:val="00FF2568"/>
    <w:rsid w:val="00FF2D99"/>
    <w:rsid w:val="00FF2E08"/>
    <w:rsid w:val="00FF36BD"/>
    <w:rsid w:val="00FF378B"/>
    <w:rsid w:val="00FF3E8B"/>
    <w:rsid w:val="00FF4603"/>
    <w:rsid w:val="00FF487E"/>
    <w:rsid w:val="00FF5389"/>
    <w:rsid w:val="00FF5808"/>
    <w:rsid w:val="00FF6196"/>
    <w:rsid w:val="00FF7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E2"/>
    <w:rPr>
      <w:sz w:val="28"/>
      <w:szCs w:val="28"/>
    </w:rPr>
  </w:style>
  <w:style w:type="paragraph" w:styleId="Heading1">
    <w:name w:val="heading 1"/>
    <w:basedOn w:val="Normal"/>
    <w:next w:val="Normal"/>
    <w:link w:val="Heading1Char"/>
    <w:uiPriority w:val="99"/>
    <w:qFormat/>
    <w:rsid w:val="00EF01AA"/>
    <w:pPr>
      <w:keepNext/>
      <w:spacing w:before="240" w:after="60"/>
      <w:outlineLvl w:val="0"/>
    </w:pPr>
    <w:rPr>
      <w:b/>
      <w:kern w:val="32"/>
      <w:sz w:val="32"/>
      <w:szCs w:val="20"/>
    </w:rPr>
  </w:style>
  <w:style w:type="paragraph" w:styleId="Heading2">
    <w:name w:val="heading 2"/>
    <w:basedOn w:val="Normal"/>
    <w:next w:val="Normal"/>
    <w:link w:val="Heading2Char"/>
    <w:uiPriority w:val="99"/>
    <w:qFormat/>
    <w:rsid w:val="00EF01AA"/>
    <w:pPr>
      <w:keepNext/>
      <w:spacing w:before="240" w:after="60"/>
      <w:outlineLvl w:val="1"/>
    </w:pPr>
    <w:rPr>
      <w:b/>
      <w:i/>
      <w:szCs w:val="20"/>
    </w:rPr>
  </w:style>
  <w:style w:type="paragraph" w:styleId="Heading3">
    <w:name w:val="heading 3"/>
    <w:aliases w:val="Heading 3 Char,Char Char Char Char,Char Char Char Char Char"/>
    <w:basedOn w:val="Normal"/>
    <w:link w:val="Heading3Char1"/>
    <w:uiPriority w:val="99"/>
    <w:qFormat/>
    <w:rsid w:val="00E61A28"/>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uiPriority w:val="99"/>
    <w:qFormat/>
    <w:rsid w:val="00EF01AA"/>
    <w:pPr>
      <w:keepNext/>
      <w:spacing w:before="240" w:after="60"/>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01AA"/>
    <w:rPr>
      <w:rFonts w:ascii="Times New Roman" w:hAnsi="Times New Roman" w:cs="Times New Roman"/>
      <w:b/>
      <w:kern w:val="32"/>
      <w:sz w:val="32"/>
      <w:lang w:val="en-US" w:eastAsia="en-US"/>
    </w:rPr>
  </w:style>
  <w:style w:type="character" w:customStyle="1" w:styleId="Heading2Char">
    <w:name w:val="Heading 2 Char"/>
    <w:link w:val="Heading2"/>
    <w:uiPriority w:val="99"/>
    <w:locked/>
    <w:rsid w:val="00EF01AA"/>
    <w:rPr>
      <w:rFonts w:ascii="Times New Roman" w:hAnsi="Times New Roman" w:cs="Times New Roman"/>
      <w:b/>
      <w:i/>
      <w:sz w:val="28"/>
      <w:lang w:val="en-US" w:eastAsia="en-US"/>
    </w:rPr>
  </w:style>
  <w:style w:type="character" w:customStyle="1" w:styleId="Heading3Char1">
    <w:name w:val="Heading 3 Char1"/>
    <w:aliases w:val="Heading 3 Char Char,Char Char Char Char Char1,Char Char Char Char Char Char"/>
    <w:link w:val="Heading3"/>
    <w:uiPriority w:val="99"/>
    <w:semiHidden/>
    <w:locked/>
    <w:rsid w:val="00694C46"/>
    <w:rPr>
      <w:rFonts w:ascii="Cambria" w:hAnsi="Cambria" w:cs="Times New Roman"/>
      <w:b/>
      <w:bCs/>
      <w:sz w:val="26"/>
      <w:szCs w:val="26"/>
    </w:rPr>
  </w:style>
  <w:style w:type="character" w:customStyle="1" w:styleId="Heading4Char">
    <w:name w:val="Heading 4 Char"/>
    <w:link w:val="Heading4"/>
    <w:uiPriority w:val="99"/>
    <w:locked/>
    <w:rsid w:val="00EF01AA"/>
    <w:rPr>
      <w:rFonts w:ascii="Arial" w:hAnsi="Arial" w:cs="Times New Roman"/>
      <w:b/>
      <w:sz w:val="28"/>
      <w:lang w:val="en-US" w:eastAsia="en-US"/>
    </w:rPr>
  </w:style>
  <w:style w:type="paragraph" w:styleId="BalloonText">
    <w:name w:val="Balloon Text"/>
    <w:basedOn w:val="Normal"/>
    <w:link w:val="BalloonTextChar"/>
    <w:uiPriority w:val="99"/>
    <w:semiHidden/>
    <w:rsid w:val="0067047C"/>
    <w:rPr>
      <w:rFonts w:ascii="Tahoma" w:hAnsi="Tahoma"/>
      <w:sz w:val="16"/>
      <w:szCs w:val="20"/>
    </w:rPr>
  </w:style>
  <w:style w:type="character" w:customStyle="1" w:styleId="BalloonTextChar">
    <w:name w:val="Balloon Text Char"/>
    <w:link w:val="BalloonText"/>
    <w:uiPriority w:val="99"/>
    <w:semiHidden/>
    <w:locked/>
    <w:rsid w:val="00EF01AA"/>
    <w:rPr>
      <w:rFonts w:ascii="Tahoma" w:hAnsi="Tahoma" w:cs="Times New Roman"/>
      <w:sz w:val="16"/>
      <w:lang w:val="en-US" w:eastAsia="en-US"/>
    </w:rPr>
  </w:style>
  <w:style w:type="paragraph" w:styleId="Footer">
    <w:name w:val="footer"/>
    <w:basedOn w:val="Normal"/>
    <w:link w:val="FooterChar"/>
    <w:uiPriority w:val="99"/>
    <w:rsid w:val="00AD2C04"/>
    <w:pPr>
      <w:tabs>
        <w:tab w:val="center" w:pos="4320"/>
        <w:tab w:val="right" w:pos="8640"/>
      </w:tabs>
    </w:pPr>
    <w:rPr>
      <w:szCs w:val="20"/>
    </w:rPr>
  </w:style>
  <w:style w:type="character" w:customStyle="1" w:styleId="FooterChar">
    <w:name w:val="Footer Char"/>
    <w:link w:val="Footer"/>
    <w:uiPriority w:val="99"/>
    <w:locked/>
    <w:rsid w:val="00864E1A"/>
    <w:rPr>
      <w:rFonts w:cs="Times New Roman"/>
      <w:sz w:val="28"/>
      <w:lang w:val="en-US" w:eastAsia="en-US"/>
    </w:rPr>
  </w:style>
  <w:style w:type="character" w:styleId="PageNumber">
    <w:name w:val="page number"/>
    <w:uiPriority w:val="99"/>
    <w:rsid w:val="00AD2C04"/>
    <w:rPr>
      <w:rFonts w:cs="Times New Roman"/>
    </w:rPr>
  </w:style>
  <w:style w:type="character" w:styleId="Strong">
    <w:name w:val="Strong"/>
    <w:uiPriority w:val="99"/>
    <w:qFormat/>
    <w:rsid w:val="00C25055"/>
    <w:rPr>
      <w:rFonts w:cs="Times New Roman"/>
      <w:b/>
    </w:rPr>
  </w:style>
  <w:style w:type="paragraph" w:styleId="Header">
    <w:name w:val="header"/>
    <w:basedOn w:val="Normal"/>
    <w:link w:val="HeaderChar"/>
    <w:uiPriority w:val="99"/>
    <w:rsid w:val="00AE138C"/>
    <w:pPr>
      <w:tabs>
        <w:tab w:val="center" w:pos="4320"/>
        <w:tab w:val="right" w:pos="8640"/>
      </w:tabs>
    </w:pPr>
    <w:rPr>
      <w:szCs w:val="20"/>
    </w:rPr>
  </w:style>
  <w:style w:type="character" w:customStyle="1" w:styleId="HeaderChar">
    <w:name w:val="Header Char"/>
    <w:link w:val="Header"/>
    <w:uiPriority w:val="99"/>
    <w:locked/>
    <w:rsid w:val="00C041A5"/>
    <w:rPr>
      <w:rFonts w:cs="Times New Roman"/>
      <w:sz w:val="28"/>
      <w:lang w:val="en-US" w:eastAsia="en-US"/>
    </w:rPr>
  </w:style>
  <w:style w:type="paragraph" w:styleId="NormalWeb">
    <w:name w:val="Normal (Web)"/>
    <w:basedOn w:val="Normal"/>
    <w:uiPriority w:val="99"/>
    <w:rsid w:val="00854D41"/>
    <w:pPr>
      <w:spacing w:before="100" w:beforeAutospacing="1" w:after="100" w:afterAutospacing="1"/>
    </w:pPr>
    <w:rPr>
      <w:sz w:val="24"/>
      <w:szCs w:val="24"/>
    </w:rPr>
  </w:style>
  <w:style w:type="character" w:styleId="Emphasis">
    <w:name w:val="Emphasis"/>
    <w:uiPriority w:val="99"/>
    <w:qFormat/>
    <w:rsid w:val="00E61A28"/>
    <w:rPr>
      <w:rFonts w:cs="Times New Roman"/>
      <w:i/>
    </w:rPr>
  </w:style>
  <w:style w:type="paragraph" w:customStyle="1" w:styleId="Thanbai">
    <w:name w:val="Than bai"/>
    <w:basedOn w:val="Normal"/>
    <w:uiPriority w:val="99"/>
    <w:rsid w:val="00AA12CC"/>
    <w:pPr>
      <w:spacing w:after="240" w:line="312" w:lineRule="auto"/>
      <w:ind w:firstLine="720"/>
      <w:jc w:val="both"/>
    </w:pPr>
    <w:rPr>
      <w:szCs w:val="20"/>
    </w:rPr>
  </w:style>
  <w:style w:type="table" w:styleId="TableGrid">
    <w:name w:val="Table Grid"/>
    <w:basedOn w:val="TableNormal"/>
    <w:uiPriority w:val="99"/>
    <w:rsid w:val="00D64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qFormat/>
    <w:rsid w:val="00AA249D"/>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link w:val="FootnoteText"/>
    <w:uiPriority w:val="99"/>
    <w:locked/>
    <w:rsid w:val="00AA249D"/>
    <w:rPr>
      <w:rFonts w:cs="Times New Roman"/>
      <w:lang w:val="en-US" w:eastAsia="en-US"/>
    </w:rPr>
  </w:style>
  <w:style w:type="character" w:styleId="FootnoteReference">
    <w:name w:val="footnote reference"/>
    <w:aliases w:val="Footnote,Footnote text,SUPERS,Footnote dich,ftref,(NECG) Footnote Reference,16 Point,Superscript 6 Point,Footnote + Arial,10 pt,Black,fr, BVI fnr,footnote ref,BVI fnr,BearingPoint,Footnote Text1,Ref,de nota al pie,Footnote Text11,R,f1"/>
    <w:link w:val="4GCharCharChar"/>
    <w:uiPriority w:val="99"/>
    <w:qFormat/>
    <w:rsid w:val="00AA249D"/>
    <w:rPr>
      <w:rFonts w:cs="Times New Roman"/>
      <w:vertAlign w:val="superscript"/>
    </w:rPr>
  </w:style>
  <w:style w:type="paragraph" w:styleId="BodyText">
    <w:name w:val="Body Text"/>
    <w:basedOn w:val="Normal"/>
    <w:link w:val="BodyTextChar"/>
    <w:uiPriority w:val="99"/>
    <w:rsid w:val="000413B2"/>
    <w:pPr>
      <w:spacing w:after="120"/>
    </w:pPr>
  </w:style>
  <w:style w:type="character" w:customStyle="1" w:styleId="BodyTextChar">
    <w:name w:val="Body Text Char"/>
    <w:link w:val="BodyText"/>
    <w:uiPriority w:val="99"/>
    <w:semiHidden/>
    <w:locked/>
    <w:rsid w:val="00694C46"/>
    <w:rPr>
      <w:rFonts w:cs="Times New Roman"/>
      <w:sz w:val="28"/>
      <w:szCs w:val="28"/>
    </w:rPr>
  </w:style>
  <w:style w:type="paragraph" w:styleId="BodyTextFirstIndent">
    <w:name w:val="Body Text First Indent"/>
    <w:basedOn w:val="BodyText"/>
    <w:link w:val="BodyTextFirstIndentChar"/>
    <w:uiPriority w:val="99"/>
    <w:rsid w:val="000413B2"/>
    <w:pPr>
      <w:spacing w:line="276" w:lineRule="auto"/>
      <w:ind w:firstLine="210"/>
    </w:pPr>
  </w:style>
  <w:style w:type="character" w:customStyle="1" w:styleId="BodyTextFirstIndentChar">
    <w:name w:val="Body Text First Indent Char"/>
    <w:link w:val="BodyTextFirstIndent"/>
    <w:uiPriority w:val="99"/>
    <w:semiHidden/>
    <w:locked/>
    <w:rsid w:val="00694C46"/>
    <w:rPr>
      <w:rFonts w:cs="Times New Roman"/>
      <w:sz w:val="28"/>
      <w:szCs w:val="28"/>
    </w:rPr>
  </w:style>
  <w:style w:type="paragraph" w:styleId="DocumentMap">
    <w:name w:val="Document Map"/>
    <w:basedOn w:val="Normal"/>
    <w:link w:val="DocumentMapChar"/>
    <w:uiPriority w:val="99"/>
    <w:rsid w:val="001E01A4"/>
    <w:rPr>
      <w:rFonts w:ascii="Tahoma" w:hAnsi="Tahoma"/>
      <w:sz w:val="16"/>
      <w:szCs w:val="20"/>
    </w:rPr>
  </w:style>
  <w:style w:type="character" w:customStyle="1" w:styleId="DocumentMapChar">
    <w:name w:val="Document Map Char"/>
    <w:link w:val="DocumentMap"/>
    <w:uiPriority w:val="99"/>
    <w:locked/>
    <w:rsid w:val="001E01A4"/>
    <w:rPr>
      <w:rFonts w:ascii="Tahoma" w:hAnsi="Tahoma" w:cs="Times New Roman"/>
      <w:sz w:val="16"/>
      <w:lang w:val="en-US" w:eastAsia="en-US"/>
    </w:rPr>
  </w:style>
  <w:style w:type="paragraph" w:customStyle="1" w:styleId="oncaDanhsch">
    <w:name w:val="Đoạn của Danh sách"/>
    <w:basedOn w:val="Normal"/>
    <w:uiPriority w:val="99"/>
    <w:qFormat/>
    <w:rsid w:val="00EF01AA"/>
    <w:pPr>
      <w:spacing w:after="240" w:line="360" w:lineRule="exact"/>
      <w:ind w:left="720"/>
      <w:contextualSpacing/>
      <w:jc w:val="both"/>
    </w:pPr>
    <w:rPr>
      <w:szCs w:val="24"/>
    </w:rPr>
  </w:style>
  <w:style w:type="paragraph" w:customStyle="1" w:styleId="mcMclc">
    <w:name w:val="Đề mục Mục lục"/>
    <w:basedOn w:val="Heading1"/>
    <w:next w:val="Normal"/>
    <w:uiPriority w:val="99"/>
    <w:qFormat/>
    <w:rsid w:val="00EF01AA"/>
    <w:pPr>
      <w:keepLines/>
      <w:pageBreakBefore/>
      <w:pBdr>
        <w:left w:val="single" w:sz="4" w:space="4" w:color="auto"/>
        <w:bottom w:val="double" w:sz="6" w:space="1" w:color="auto"/>
      </w:pBdr>
      <w:spacing w:before="0" w:after="0" w:line="276" w:lineRule="auto"/>
      <w:jc w:val="both"/>
      <w:outlineLvl w:val="9"/>
    </w:pPr>
    <w:rPr>
      <w:color w:val="365F91"/>
      <w:kern w:val="0"/>
      <w:sz w:val="28"/>
      <w:szCs w:val="28"/>
    </w:rPr>
  </w:style>
  <w:style w:type="paragraph" w:styleId="TOC1">
    <w:name w:val="toc 1"/>
    <w:basedOn w:val="Normal"/>
    <w:next w:val="Normal"/>
    <w:autoRedefine/>
    <w:uiPriority w:val="99"/>
    <w:rsid w:val="00EF01AA"/>
    <w:pPr>
      <w:spacing w:after="100" w:line="360" w:lineRule="exact"/>
      <w:jc w:val="both"/>
    </w:pPr>
    <w:rPr>
      <w:szCs w:val="24"/>
    </w:rPr>
  </w:style>
  <w:style w:type="paragraph" w:styleId="TOC2">
    <w:name w:val="toc 2"/>
    <w:basedOn w:val="Normal"/>
    <w:next w:val="Normal"/>
    <w:autoRedefine/>
    <w:uiPriority w:val="99"/>
    <w:rsid w:val="00EF01AA"/>
    <w:pPr>
      <w:spacing w:after="100" w:line="360" w:lineRule="exact"/>
      <w:ind w:left="240"/>
      <w:jc w:val="both"/>
    </w:pPr>
    <w:rPr>
      <w:szCs w:val="24"/>
    </w:rPr>
  </w:style>
  <w:style w:type="paragraph" w:styleId="TOC3">
    <w:name w:val="toc 3"/>
    <w:basedOn w:val="Normal"/>
    <w:next w:val="Normal"/>
    <w:autoRedefine/>
    <w:uiPriority w:val="99"/>
    <w:rsid w:val="00EF01AA"/>
    <w:pPr>
      <w:spacing w:after="100" w:line="360" w:lineRule="exact"/>
      <w:ind w:left="480"/>
      <w:jc w:val="both"/>
    </w:pPr>
    <w:rPr>
      <w:szCs w:val="24"/>
    </w:rPr>
  </w:style>
  <w:style w:type="character" w:styleId="Hyperlink">
    <w:name w:val="Hyperlink"/>
    <w:uiPriority w:val="99"/>
    <w:rsid w:val="00EF01AA"/>
    <w:rPr>
      <w:rFonts w:cs="Times New Roman"/>
      <w:color w:val="0000FF"/>
      <w:u w:val="single"/>
    </w:rPr>
  </w:style>
  <w:style w:type="paragraph" w:customStyle="1" w:styleId="Normal1">
    <w:name w:val="Normal1"/>
    <w:uiPriority w:val="99"/>
    <w:rsid w:val="00EF01AA"/>
    <w:pPr>
      <w:spacing w:line="276" w:lineRule="auto"/>
    </w:pPr>
    <w:rPr>
      <w:rFonts w:ascii="Arial" w:hAnsi="Arial" w:cs="Arial"/>
      <w:color w:val="000000"/>
      <w:sz w:val="22"/>
      <w:lang w:val="vi-VN" w:eastAsia="vi-VN"/>
    </w:rPr>
  </w:style>
  <w:style w:type="paragraph" w:customStyle="1" w:styleId="KhngGincch">
    <w:name w:val="Không Giãn cách"/>
    <w:uiPriority w:val="99"/>
    <w:qFormat/>
    <w:rsid w:val="00EF01AA"/>
    <w:rPr>
      <w:sz w:val="28"/>
      <w:szCs w:val="24"/>
    </w:rPr>
  </w:style>
  <w:style w:type="paragraph" w:styleId="ListParagraph">
    <w:name w:val="List Paragraph"/>
    <w:basedOn w:val="Normal"/>
    <w:uiPriority w:val="34"/>
    <w:qFormat/>
    <w:rsid w:val="00E974AA"/>
    <w:pPr>
      <w:ind w:left="720"/>
      <w:contextualSpacing/>
    </w:pPr>
  </w:style>
  <w:style w:type="character" w:styleId="CommentReference">
    <w:name w:val="annotation reference"/>
    <w:uiPriority w:val="99"/>
    <w:semiHidden/>
    <w:unhideWhenUsed/>
    <w:locked/>
    <w:rsid w:val="0079294D"/>
    <w:rPr>
      <w:sz w:val="16"/>
      <w:szCs w:val="16"/>
    </w:rPr>
  </w:style>
  <w:style w:type="paragraph" w:styleId="CommentText">
    <w:name w:val="annotation text"/>
    <w:basedOn w:val="Normal"/>
    <w:link w:val="CommentTextChar"/>
    <w:uiPriority w:val="99"/>
    <w:unhideWhenUsed/>
    <w:locked/>
    <w:rsid w:val="0079294D"/>
    <w:rPr>
      <w:sz w:val="20"/>
      <w:szCs w:val="20"/>
    </w:rPr>
  </w:style>
  <w:style w:type="character" w:customStyle="1" w:styleId="CommentTextChar">
    <w:name w:val="Comment Text Char"/>
    <w:link w:val="CommentText"/>
    <w:uiPriority w:val="99"/>
    <w:rsid w:val="0079294D"/>
    <w:rPr>
      <w:lang w:val="en-US" w:eastAsia="en-US"/>
    </w:rPr>
  </w:style>
  <w:style w:type="paragraph" w:styleId="CommentSubject">
    <w:name w:val="annotation subject"/>
    <w:basedOn w:val="CommentText"/>
    <w:next w:val="CommentText"/>
    <w:link w:val="CommentSubjectChar"/>
    <w:uiPriority w:val="99"/>
    <w:semiHidden/>
    <w:unhideWhenUsed/>
    <w:locked/>
    <w:rsid w:val="0079294D"/>
    <w:rPr>
      <w:b/>
      <w:bCs/>
    </w:rPr>
  </w:style>
  <w:style w:type="character" w:customStyle="1" w:styleId="CommentSubjectChar">
    <w:name w:val="Comment Subject Char"/>
    <w:link w:val="CommentSubject"/>
    <w:uiPriority w:val="99"/>
    <w:semiHidden/>
    <w:rsid w:val="0079294D"/>
    <w:rPr>
      <w:b/>
      <w:bCs/>
      <w:lang w:val="en-US" w:eastAsia="en-US"/>
    </w:rPr>
  </w:style>
  <w:style w:type="paragraph" w:styleId="Title">
    <w:name w:val="Title"/>
    <w:basedOn w:val="Normal"/>
    <w:next w:val="Normal"/>
    <w:link w:val="TitleChar"/>
    <w:qFormat/>
    <w:rsid w:val="00C947D0"/>
    <w:pPr>
      <w:spacing w:before="240" w:after="60"/>
      <w:jc w:val="center"/>
      <w:outlineLvl w:val="0"/>
    </w:pPr>
    <w:rPr>
      <w:rFonts w:ascii="Cambria" w:hAnsi="Cambria"/>
      <w:b/>
      <w:bCs/>
      <w:kern w:val="28"/>
      <w:sz w:val="32"/>
      <w:szCs w:val="32"/>
    </w:rPr>
  </w:style>
  <w:style w:type="character" w:customStyle="1" w:styleId="TitleChar">
    <w:name w:val="Title Char"/>
    <w:link w:val="Title"/>
    <w:rsid w:val="00C947D0"/>
    <w:rPr>
      <w:rFonts w:ascii="Cambria" w:eastAsia="Times New Roman" w:hAnsi="Cambria" w:cs="Times New Roman"/>
      <w:b/>
      <w:bCs/>
      <w:kern w:val="28"/>
      <w:sz w:val="32"/>
      <w:szCs w:val="32"/>
    </w:rPr>
  </w:style>
  <w:style w:type="paragraph" w:styleId="Revision">
    <w:name w:val="Revision"/>
    <w:hidden/>
    <w:uiPriority w:val="99"/>
    <w:semiHidden/>
    <w:rsid w:val="000C2F90"/>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471EFB"/>
    <w:pPr>
      <w:spacing w:before="100" w:line="240" w:lineRule="exact"/>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115951758">
      <w:bodyDiv w:val="1"/>
      <w:marLeft w:val="0"/>
      <w:marRight w:val="0"/>
      <w:marTop w:val="0"/>
      <w:marBottom w:val="0"/>
      <w:divBdr>
        <w:top w:val="none" w:sz="0" w:space="0" w:color="auto"/>
        <w:left w:val="none" w:sz="0" w:space="0" w:color="auto"/>
        <w:bottom w:val="none" w:sz="0" w:space="0" w:color="auto"/>
        <w:right w:val="none" w:sz="0" w:space="0" w:color="auto"/>
      </w:divBdr>
    </w:div>
    <w:div w:id="277685825">
      <w:marLeft w:val="0"/>
      <w:marRight w:val="0"/>
      <w:marTop w:val="0"/>
      <w:marBottom w:val="0"/>
      <w:divBdr>
        <w:top w:val="none" w:sz="0" w:space="0" w:color="auto"/>
        <w:left w:val="none" w:sz="0" w:space="0" w:color="auto"/>
        <w:bottom w:val="none" w:sz="0" w:space="0" w:color="auto"/>
        <w:right w:val="none" w:sz="0" w:space="0" w:color="auto"/>
      </w:divBdr>
    </w:div>
    <w:div w:id="277685826">
      <w:marLeft w:val="0"/>
      <w:marRight w:val="0"/>
      <w:marTop w:val="0"/>
      <w:marBottom w:val="0"/>
      <w:divBdr>
        <w:top w:val="none" w:sz="0" w:space="0" w:color="auto"/>
        <w:left w:val="none" w:sz="0" w:space="0" w:color="auto"/>
        <w:bottom w:val="none" w:sz="0" w:space="0" w:color="auto"/>
        <w:right w:val="none" w:sz="0" w:space="0" w:color="auto"/>
      </w:divBdr>
    </w:div>
    <w:div w:id="277685827">
      <w:marLeft w:val="0"/>
      <w:marRight w:val="0"/>
      <w:marTop w:val="0"/>
      <w:marBottom w:val="0"/>
      <w:divBdr>
        <w:top w:val="none" w:sz="0" w:space="0" w:color="auto"/>
        <w:left w:val="none" w:sz="0" w:space="0" w:color="auto"/>
        <w:bottom w:val="none" w:sz="0" w:space="0" w:color="auto"/>
        <w:right w:val="none" w:sz="0" w:space="0" w:color="auto"/>
      </w:divBdr>
    </w:div>
    <w:div w:id="277685828">
      <w:marLeft w:val="0"/>
      <w:marRight w:val="0"/>
      <w:marTop w:val="0"/>
      <w:marBottom w:val="0"/>
      <w:divBdr>
        <w:top w:val="none" w:sz="0" w:space="0" w:color="auto"/>
        <w:left w:val="none" w:sz="0" w:space="0" w:color="auto"/>
        <w:bottom w:val="none" w:sz="0" w:space="0" w:color="auto"/>
        <w:right w:val="none" w:sz="0" w:space="0" w:color="auto"/>
      </w:divBdr>
    </w:div>
    <w:div w:id="277685829">
      <w:marLeft w:val="0"/>
      <w:marRight w:val="0"/>
      <w:marTop w:val="0"/>
      <w:marBottom w:val="0"/>
      <w:divBdr>
        <w:top w:val="none" w:sz="0" w:space="0" w:color="auto"/>
        <w:left w:val="none" w:sz="0" w:space="0" w:color="auto"/>
        <w:bottom w:val="none" w:sz="0" w:space="0" w:color="auto"/>
        <w:right w:val="none" w:sz="0" w:space="0" w:color="auto"/>
      </w:divBdr>
    </w:div>
    <w:div w:id="367878288">
      <w:bodyDiv w:val="1"/>
      <w:marLeft w:val="0"/>
      <w:marRight w:val="0"/>
      <w:marTop w:val="0"/>
      <w:marBottom w:val="0"/>
      <w:divBdr>
        <w:top w:val="none" w:sz="0" w:space="0" w:color="auto"/>
        <w:left w:val="none" w:sz="0" w:space="0" w:color="auto"/>
        <w:bottom w:val="none" w:sz="0" w:space="0" w:color="auto"/>
        <w:right w:val="none" w:sz="0" w:space="0" w:color="auto"/>
      </w:divBdr>
    </w:div>
    <w:div w:id="505361481">
      <w:bodyDiv w:val="1"/>
      <w:marLeft w:val="0"/>
      <w:marRight w:val="0"/>
      <w:marTop w:val="0"/>
      <w:marBottom w:val="0"/>
      <w:divBdr>
        <w:top w:val="none" w:sz="0" w:space="0" w:color="auto"/>
        <w:left w:val="none" w:sz="0" w:space="0" w:color="auto"/>
        <w:bottom w:val="none" w:sz="0" w:space="0" w:color="auto"/>
        <w:right w:val="none" w:sz="0" w:space="0" w:color="auto"/>
      </w:divBdr>
    </w:div>
    <w:div w:id="572930822">
      <w:bodyDiv w:val="1"/>
      <w:marLeft w:val="0"/>
      <w:marRight w:val="0"/>
      <w:marTop w:val="0"/>
      <w:marBottom w:val="0"/>
      <w:divBdr>
        <w:top w:val="none" w:sz="0" w:space="0" w:color="auto"/>
        <w:left w:val="none" w:sz="0" w:space="0" w:color="auto"/>
        <w:bottom w:val="none" w:sz="0" w:space="0" w:color="auto"/>
        <w:right w:val="none" w:sz="0" w:space="0" w:color="auto"/>
      </w:divBdr>
    </w:div>
    <w:div w:id="630088980">
      <w:bodyDiv w:val="1"/>
      <w:marLeft w:val="0"/>
      <w:marRight w:val="0"/>
      <w:marTop w:val="0"/>
      <w:marBottom w:val="0"/>
      <w:divBdr>
        <w:top w:val="none" w:sz="0" w:space="0" w:color="auto"/>
        <w:left w:val="none" w:sz="0" w:space="0" w:color="auto"/>
        <w:bottom w:val="none" w:sz="0" w:space="0" w:color="auto"/>
        <w:right w:val="none" w:sz="0" w:space="0" w:color="auto"/>
      </w:divBdr>
    </w:div>
    <w:div w:id="962543181">
      <w:bodyDiv w:val="1"/>
      <w:marLeft w:val="0"/>
      <w:marRight w:val="0"/>
      <w:marTop w:val="0"/>
      <w:marBottom w:val="0"/>
      <w:divBdr>
        <w:top w:val="none" w:sz="0" w:space="0" w:color="auto"/>
        <w:left w:val="none" w:sz="0" w:space="0" w:color="auto"/>
        <w:bottom w:val="none" w:sz="0" w:space="0" w:color="auto"/>
        <w:right w:val="none" w:sz="0" w:space="0" w:color="auto"/>
      </w:divBdr>
    </w:div>
    <w:div w:id="966593605">
      <w:bodyDiv w:val="1"/>
      <w:marLeft w:val="20"/>
      <w:marRight w:val="20"/>
      <w:marTop w:val="0"/>
      <w:marBottom w:val="0"/>
      <w:divBdr>
        <w:top w:val="none" w:sz="0" w:space="0" w:color="auto"/>
        <w:left w:val="none" w:sz="0" w:space="0" w:color="auto"/>
        <w:bottom w:val="none" w:sz="0" w:space="0" w:color="auto"/>
        <w:right w:val="none" w:sz="0" w:space="0" w:color="auto"/>
      </w:divBdr>
      <w:divsChild>
        <w:div w:id="1962563911">
          <w:marLeft w:val="0"/>
          <w:marRight w:val="0"/>
          <w:marTop w:val="0"/>
          <w:marBottom w:val="0"/>
          <w:divBdr>
            <w:top w:val="none" w:sz="0" w:space="0" w:color="auto"/>
            <w:left w:val="none" w:sz="0" w:space="0" w:color="auto"/>
            <w:bottom w:val="none" w:sz="0" w:space="0" w:color="auto"/>
            <w:right w:val="none" w:sz="0" w:space="0" w:color="auto"/>
          </w:divBdr>
          <w:divsChild>
            <w:div w:id="414403469">
              <w:marLeft w:val="0"/>
              <w:marRight w:val="0"/>
              <w:marTop w:val="0"/>
              <w:marBottom w:val="0"/>
              <w:divBdr>
                <w:top w:val="none" w:sz="0" w:space="0" w:color="auto"/>
                <w:left w:val="none" w:sz="0" w:space="0" w:color="auto"/>
                <w:bottom w:val="none" w:sz="0" w:space="0" w:color="auto"/>
                <w:right w:val="none" w:sz="0" w:space="0" w:color="auto"/>
              </w:divBdr>
              <w:divsChild>
                <w:div w:id="1776056142">
                  <w:marLeft w:val="120"/>
                  <w:marRight w:val="0"/>
                  <w:marTop w:val="0"/>
                  <w:marBottom w:val="0"/>
                  <w:divBdr>
                    <w:top w:val="none" w:sz="0" w:space="0" w:color="auto"/>
                    <w:left w:val="none" w:sz="0" w:space="0" w:color="auto"/>
                    <w:bottom w:val="none" w:sz="0" w:space="0" w:color="auto"/>
                    <w:right w:val="none" w:sz="0" w:space="0" w:color="auto"/>
                  </w:divBdr>
                  <w:divsChild>
                    <w:div w:id="5288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5488">
          <w:marLeft w:val="0"/>
          <w:marRight w:val="0"/>
          <w:marTop w:val="0"/>
          <w:marBottom w:val="0"/>
          <w:divBdr>
            <w:top w:val="none" w:sz="0" w:space="0" w:color="auto"/>
            <w:left w:val="none" w:sz="0" w:space="0" w:color="auto"/>
            <w:bottom w:val="none" w:sz="0" w:space="0" w:color="auto"/>
            <w:right w:val="none" w:sz="0" w:space="0" w:color="auto"/>
          </w:divBdr>
          <w:divsChild>
            <w:div w:id="1230462018">
              <w:marLeft w:val="0"/>
              <w:marRight w:val="0"/>
              <w:marTop w:val="0"/>
              <w:marBottom w:val="0"/>
              <w:divBdr>
                <w:top w:val="none" w:sz="0" w:space="0" w:color="auto"/>
                <w:left w:val="none" w:sz="0" w:space="0" w:color="auto"/>
                <w:bottom w:val="none" w:sz="0" w:space="0" w:color="auto"/>
                <w:right w:val="none" w:sz="0" w:space="0" w:color="auto"/>
              </w:divBdr>
              <w:divsChild>
                <w:div w:id="515651963">
                  <w:marLeft w:val="120"/>
                  <w:marRight w:val="0"/>
                  <w:marTop w:val="0"/>
                  <w:marBottom w:val="0"/>
                  <w:divBdr>
                    <w:top w:val="none" w:sz="0" w:space="0" w:color="auto"/>
                    <w:left w:val="none" w:sz="0" w:space="0" w:color="auto"/>
                    <w:bottom w:val="none" w:sz="0" w:space="0" w:color="auto"/>
                    <w:right w:val="none" w:sz="0" w:space="0" w:color="auto"/>
                  </w:divBdr>
                  <w:divsChild>
                    <w:div w:id="6220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23258">
      <w:bodyDiv w:val="1"/>
      <w:marLeft w:val="0"/>
      <w:marRight w:val="0"/>
      <w:marTop w:val="0"/>
      <w:marBottom w:val="0"/>
      <w:divBdr>
        <w:top w:val="none" w:sz="0" w:space="0" w:color="auto"/>
        <w:left w:val="none" w:sz="0" w:space="0" w:color="auto"/>
        <w:bottom w:val="none" w:sz="0" w:space="0" w:color="auto"/>
        <w:right w:val="none" w:sz="0" w:space="0" w:color="auto"/>
      </w:divBdr>
    </w:div>
    <w:div w:id="1312639564">
      <w:bodyDiv w:val="1"/>
      <w:marLeft w:val="0"/>
      <w:marRight w:val="0"/>
      <w:marTop w:val="0"/>
      <w:marBottom w:val="0"/>
      <w:divBdr>
        <w:top w:val="none" w:sz="0" w:space="0" w:color="auto"/>
        <w:left w:val="none" w:sz="0" w:space="0" w:color="auto"/>
        <w:bottom w:val="none" w:sz="0" w:space="0" w:color="auto"/>
        <w:right w:val="none" w:sz="0" w:space="0" w:color="auto"/>
      </w:divBdr>
    </w:div>
    <w:div w:id="1446267085">
      <w:bodyDiv w:val="1"/>
      <w:marLeft w:val="0"/>
      <w:marRight w:val="0"/>
      <w:marTop w:val="0"/>
      <w:marBottom w:val="0"/>
      <w:divBdr>
        <w:top w:val="none" w:sz="0" w:space="0" w:color="auto"/>
        <w:left w:val="none" w:sz="0" w:space="0" w:color="auto"/>
        <w:bottom w:val="none" w:sz="0" w:space="0" w:color="auto"/>
        <w:right w:val="none" w:sz="0" w:space="0" w:color="auto"/>
      </w:divBdr>
    </w:div>
    <w:div w:id="1551116123">
      <w:bodyDiv w:val="1"/>
      <w:marLeft w:val="0"/>
      <w:marRight w:val="0"/>
      <w:marTop w:val="0"/>
      <w:marBottom w:val="0"/>
      <w:divBdr>
        <w:top w:val="none" w:sz="0" w:space="0" w:color="auto"/>
        <w:left w:val="none" w:sz="0" w:space="0" w:color="auto"/>
        <w:bottom w:val="none" w:sz="0" w:space="0" w:color="auto"/>
        <w:right w:val="none" w:sz="0" w:space="0" w:color="auto"/>
      </w:divBdr>
    </w:div>
    <w:div w:id="1565723202">
      <w:bodyDiv w:val="1"/>
      <w:marLeft w:val="0"/>
      <w:marRight w:val="0"/>
      <w:marTop w:val="0"/>
      <w:marBottom w:val="0"/>
      <w:divBdr>
        <w:top w:val="none" w:sz="0" w:space="0" w:color="auto"/>
        <w:left w:val="none" w:sz="0" w:space="0" w:color="auto"/>
        <w:bottom w:val="none" w:sz="0" w:space="0" w:color="auto"/>
        <w:right w:val="none" w:sz="0" w:space="0" w:color="auto"/>
      </w:divBdr>
    </w:div>
    <w:div w:id="1824201553">
      <w:bodyDiv w:val="1"/>
      <w:marLeft w:val="0"/>
      <w:marRight w:val="0"/>
      <w:marTop w:val="0"/>
      <w:marBottom w:val="0"/>
      <w:divBdr>
        <w:top w:val="none" w:sz="0" w:space="0" w:color="auto"/>
        <w:left w:val="none" w:sz="0" w:space="0" w:color="auto"/>
        <w:bottom w:val="none" w:sz="0" w:space="0" w:color="auto"/>
        <w:right w:val="none" w:sz="0" w:space="0" w:color="auto"/>
      </w:divBdr>
    </w:div>
    <w:div w:id="2026128506">
      <w:bodyDiv w:val="1"/>
      <w:marLeft w:val="0"/>
      <w:marRight w:val="0"/>
      <w:marTop w:val="0"/>
      <w:marBottom w:val="0"/>
      <w:divBdr>
        <w:top w:val="none" w:sz="0" w:space="0" w:color="auto"/>
        <w:left w:val="none" w:sz="0" w:space="0" w:color="auto"/>
        <w:bottom w:val="none" w:sz="0" w:space="0" w:color="auto"/>
        <w:right w:val="none" w:sz="0" w:space="0" w:color="auto"/>
      </w:divBdr>
    </w:div>
    <w:div w:id="20353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F35E5-2C94-41CF-852E-3BD9CC569FFC}">
  <ds:schemaRefs>
    <ds:schemaRef ds:uri="http://schemas.openxmlformats.org/officeDocument/2006/bibliography"/>
  </ds:schemaRefs>
</ds:datastoreItem>
</file>

<file path=customXml/itemProps2.xml><?xml version="1.0" encoding="utf-8"?>
<ds:datastoreItem xmlns:ds="http://schemas.openxmlformats.org/officeDocument/2006/customXml" ds:itemID="{67F0D0D9-BB36-4CE4-B438-452878A25E66}"/>
</file>

<file path=customXml/itemProps3.xml><?xml version="1.0" encoding="utf-8"?>
<ds:datastoreItem xmlns:ds="http://schemas.openxmlformats.org/officeDocument/2006/customXml" ds:itemID="{C47A5A35-9CF1-446B-9587-2AD54C48E162}"/>
</file>

<file path=customXml/itemProps4.xml><?xml version="1.0" encoding="utf-8"?>
<ds:datastoreItem xmlns:ds="http://schemas.openxmlformats.org/officeDocument/2006/customXml" ds:itemID="{1D03593F-9BE7-40BE-A23D-881043052BC3}"/>
</file>

<file path=docProps/app.xml><?xml version="1.0" encoding="utf-8"?>
<Properties xmlns="http://schemas.openxmlformats.org/officeDocument/2006/extended-properties" xmlns:vt="http://schemas.openxmlformats.org/officeDocument/2006/docPropsVTypes">
  <Template>Normal</Template>
  <TotalTime>21</TotalTime>
  <Pages>11</Pages>
  <Words>5880</Words>
  <Characters>21625</Characters>
  <Application>Microsoft Office Word</Application>
  <DocSecurity>0</DocSecurity>
  <Lines>180</Lines>
  <Paragraphs>54</Paragraphs>
  <ScaleCrop>false</ScaleCrop>
  <HeadingPairs>
    <vt:vector size="2" baseType="variant">
      <vt:variant>
        <vt:lpstr>Title</vt:lpstr>
      </vt:variant>
      <vt:variant>
        <vt:i4>1</vt:i4>
      </vt:variant>
    </vt:vector>
  </HeadingPairs>
  <TitlesOfParts>
    <vt:vector size="1" baseType="lpstr">
      <vt:lpstr>BÁO CÁO TÌNH HÌNH PHÁT HÀNH TRÁI PHIẾU DOANH NGHIỆP THEO NGHỊ ĐỊNH 52/2006/NĐ-CP NGÀY 19/5/2006 CỦA CHÍNH PHỦ</vt:lpstr>
    </vt:vector>
  </TitlesOfParts>
  <Company>VPBTC</Company>
  <LinksUpToDate>false</LinksUpToDate>
  <CharactersWithSpaces>27451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TÌNH HÌNH PHÁT HÀNH TRÁI PHIẾU DOANH NGHIỆP THEO NGHỊ ĐỊNH 52/2006/NĐ-CP NGÀY 19/5/2006 CỦA CHÍNH PHỦ</dc:title>
  <dc:creator>Do Duc Minh</dc:creator>
  <cp:lastModifiedBy>Le Ngoc Chi</cp:lastModifiedBy>
  <cp:revision>9</cp:revision>
  <cp:lastPrinted>2022-12-30T11:22:00Z</cp:lastPrinted>
  <dcterms:created xsi:type="dcterms:W3CDTF">2022-12-30T11:01:00Z</dcterms:created>
  <dcterms:modified xsi:type="dcterms:W3CDTF">2023-01-03T06:41:00Z</dcterms:modified>
</cp:coreProperties>
</file>